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E4F35B6" w14:textId="77777777" w:rsidR="00C20F92" w:rsidRDefault="00B07E38">
      <w:pPr>
        <w:rPr>
          <w:rFonts w:ascii="Poppins" w:eastAsia="Poppins" w:hAnsi="Poppins" w:cs="Poppins"/>
          <w:b/>
          <w:color w:val="334490"/>
          <w:sz w:val="56"/>
          <w:szCs w:val="56"/>
        </w:rPr>
      </w:pPr>
      <w:r>
        <w:rPr>
          <w:rFonts w:ascii="Cambria" w:eastAsia="Cambria" w:hAnsi="Cambria" w:cs="Cambria"/>
          <w:noProof/>
        </w:rPr>
        <w:drawing>
          <wp:anchor distT="0" distB="0" distL="0" distR="0" simplePos="0" relativeHeight="251658240" behindDoc="1" locked="0" layoutInCell="1" hidden="0" allowOverlap="1" wp14:anchorId="56366DE8" wp14:editId="01234ECD">
            <wp:simplePos x="0" y="0"/>
            <wp:positionH relativeFrom="page">
              <wp:align>left</wp:align>
            </wp:positionH>
            <wp:positionV relativeFrom="page">
              <wp:posOffset>2019301</wp:posOffset>
            </wp:positionV>
            <wp:extent cx="7574710" cy="3178268"/>
            <wp:effectExtent l="0" t="0" r="0" b="0"/>
            <wp:wrapNone/>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7"/>
                    <a:srcRect t="18806" b="59311"/>
                    <a:stretch>
                      <a:fillRect/>
                    </a:stretch>
                  </pic:blipFill>
                  <pic:spPr>
                    <a:xfrm>
                      <a:off x="0" y="0"/>
                      <a:ext cx="7574710" cy="3178268"/>
                    </a:xfrm>
                    <a:prstGeom prst="rect">
                      <a:avLst/>
                    </a:prstGeom>
                    <a:ln/>
                  </pic:spPr>
                </pic:pic>
              </a:graphicData>
            </a:graphic>
          </wp:anchor>
        </w:drawing>
      </w:r>
      <w:r>
        <w:rPr>
          <w:rFonts w:ascii="Poppins" w:eastAsia="Poppins" w:hAnsi="Poppins" w:cs="Poppins"/>
          <w:b/>
          <w:color w:val="334490"/>
          <w:sz w:val="56"/>
          <w:szCs w:val="56"/>
        </w:rPr>
        <w:t xml:space="preserve">Projet </w:t>
      </w:r>
      <w:proofErr w:type="spellStart"/>
      <w:r>
        <w:rPr>
          <w:rFonts w:ascii="Poppins" w:eastAsia="Poppins" w:hAnsi="Poppins" w:cs="Poppins"/>
          <w:b/>
          <w:color w:val="334490"/>
          <w:sz w:val="56"/>
          <w:szCs w:val="56"/>
        </w:rPr>
        <w:t>Goin</w:t>
      </w:r>
      <w:proofErr w:type="spellEnd"/>
      <w:r>
        <w:rPr>
          <w:rFonts w:ascii="Poppins" w:eastAsia="Poppins" w:hAnsi="Poppins" w:cs="Poppins"/>
          <w:b/>
          <w:color w:val="334490"/>
          <w:sz w:val="56"/>
          <w:szCs w:val="56"/>
        </w:rPr>
        <w:t xml:space="preserve">’ Digital </w:t>
      </w:r>
    </w:p>
    <w:p w14:paraId="4FCC7543" w14:textId="5F3C8CD7" w:rsidR="00C20F92" w:rsidRDefault="00B07E38">
      <w:pPr>
        <w:rPr>
          <w:rFonts w:ascii="Poppins" w:eastAsia="Poppins" w:hAnsi="Poppins" w:cs="Poppins"/>
          <w:b/>
          <w:color w:val="334490"/>
          <w:sz w:val="50"/>
          <w:szCs w:val="50"/>
        </w:rPr>
      </w:pPr>
      <w:r>
        <w:rPr>
          <w:rFonts w:ascii="Poppins" w:eastAsia="Poppins" w:hAnsi="Poppins" w:cs="Poppins"/>
          <w:b/>
          <w:color w:val="334490"/>
          <w:sz w:val="50"/>
          <w:szCs w:val="50"/>
        </w:rPr>
        <w:t xml:space="preserve">Termes de Référence (TDR) </w:t>
      </w:r>
      <w:proofErr w:type="gramStart"/>
      <w:r>
        <w:rPr>
          <w:rFonts w:ascii="Poppins" w:eastAsia="Poppins" w:hAnsi="Poppins" w:cs="Poppins"/>
          <w:b/>
          <w:color w:val="334490"/>
          <w:sz w:val="50"/>
          <w:szCs w:val="50"/>
        </w:rPr>
        <w:t>Recrutement  d'un</w:t>
      </w:r>
      <w:proofErr w:type="gramEnd"/>
      <w:r>
        <w:rPr>
          <w:rFonts w:ascii="Poppins" w:eastAsia="Poppins" w:hAnsi="Poppins" w:cs="Poppins"/>
          <w:b/>
          <w:color w:val="334490"/>
          <w:sz w:val="50"/>
          <w:szCs w:val="50"/>
        </w:rPr>
        <w:t xml:space="preserve"> prestataire pour </w:t>
      </w:r>
      <w:r w:rsidR="006A3912">
        <w:rPr>
          <w:rFonts w:ascii="Poppins" w:eastAsia="Poppins" w:hAnsi="Poppins" w:cs="Poppins"/>
          <w:b/>
          <w:color w:val="334490"/>
          <w:sz w:val="50"/>
          <w:szCs w:val="50"/>
        </w:rPr>
        <w:t>la structuration d’un programme de start-up d’Etat</w:t>
      </w:r>
      <w:r>
        <w:rPr>
          <w:rFonts w:ascii="Poppins" w:eastAsia="Poppins" w:hAnsi="Poppins" w:cs="Poppins"/>
          <w:b/>
          <w:color w:val="334490"/>
          <w:sz w:val="50"/>
          <w:szCs w:val="50"/>
        </w:rPr>
        <w:t xml:space="preserve"> </w:t>
      </w:r>
    </w:p>
    <w:p w14:paraId="71BB65A0" w14:textId="4E7DE2A5" w:rsidR="00C20F92" w:rsidRDefault="00B07E38">
      <w:pPr>
        <w:rPr>
          <w:color w:val="008BD0"/>
          <w:sz w:val="32"/>
          <w:szCs w:val="32"/>
        </w:rPr>
      </w:pPr>
      <w:r>
        <w:rPr>
          <w:color w:val="333333"/>
        </w:rPr>
        <w:t>Département Economie durable et Inclusive – EDI &gt; Pôle Entrepreneuriat et Innovati</w:t>
      </w:r>
      <w:r w:rsidR="008449F3">
        <w:rPr>
          <w:color w:val="333333"/>
        </w:rPr>
        <w:t>on</w:t>
      </w:r>
    </w:p>
    <w:p w14:paraId="3D36A69B" w14:textId="77777777" w:rsidR="00C20F92" w:rsidRDefault="00C20F92">
      <w:pPr>
        <w:spacing w:before="280" w:after="280" w:line="240" w:lineRule="auto"/>
        <w:rPr>
          <w:b/>
          <w:color w:val="1F3864"/>
          <w:sz w:val="32"/>
          <w:szCs w:val="32"/>
          <w:u w:val="single"/>
        </w:rPr>
      </w:pPr>
    </w:p>
    <w:p w14:paraId="74A26F55" w14:textId="77777777" w:rsidR="00C20F92" w:rsidRDefault="00B07E38">
      <w:pPr>
        <w:spacing w:before="280" w:after="280" w:line="240" w:lineRule="auto"/>
        <w:rPr>
          <w:b/>
          <w:color w:val="1F3864"/>
          <w:sz w:val="32"/>
          <w:szCs w:val="32"/>
          <w:u w:val="single"/>
        </w:rPr>
      </w:pPr>
      <w:r>
        <w:rPr>
          <w:b/>
          <w:color w:val="1F3864"/>
          <w:sz w:val="32"/>
          <w:szCs w:val="32"/>
          <w:u w:val="single"/>
        </w:rPr>
        <w:t xml:space="preserve">Contexte du projet </w:t>
      </w:r>
    </w:p>
    <w:p w14:paraId="169606B8" w14:textId="2C432B41" w:rsidR="00C20F92" w:rsidRDefault="00B07E38">
      <w:pPr>
        <w:spacing w:before="280" w:after="280" w:line="240" w:lineRule="auto"/>
        <w:jc w:val="both"/>
      </w:pPr>
      <w:r>
        <w:t xml:space="preserve">Le projet « Renforcer la transformation numérique pour un développement durable au Sénégal - </w:t>
      </w:r>
      <w:proofErr w:type="spellStart"/>
      <w:r>
        <w:t>Goin</w:t>
      </w:r>
      <w:proofErr w:type="spellEnd"/>
      <w:r>
        <w:t xml:space="preserve">' Digital » est une initiative </w:t>
      </w:r>
      <w:r w:rsidR="00E12B00">
        <w:t xml:space="preserve">développée avec le Ministère de la Communication, des Télécommunications et des Nouvelles Technologies (MCTN), </w:t>
      </w:r>
      <w:r>
        <w:t>cofinancée par l'Union Européenne, le Ministère fédéral allemand de la Coopération économique et du Développement (BMZ), et le Ministère français de l’Europe et des Affaires Étrangères. Le projet est mis en œuvre par la GIZ et Expertise France (EF). Il s’inscrit dans le cadre plus large de l’Initiative Équipe Europe (TEI) « Économie verte au Sénégal », avec un accent particulier sur le renforcement des institutions publiques et privées pour promouvoir une transformation numérique inclusive et durable au Sénégal. Le projet est articulé en trois composantes : 1) Inclusion numérique (GIZ) ; 2) Gouvernance du numérique (GIZ) ; 3) Innovation (EF).</w:t>
      </w:r>
    </w:p>
    <w:p w14:paraId="148C779F" w14:textId="77777777" w:rsidR="00C20F92" w:rsidRDefault="00B07E38">
      <w:pPr>
        <w:spacing w:before="280" w:after="280" w:line="240" w:lineRule="auto"/>
      </w:pPr>
      <w:r>
        <w:t xml:space="preserve">Le volet Innovation, mis en œuvre par EF, s’articule autour de 3 axes : </w:t>
      </w:r>
    </w:p>
    <w:p w14:paraId="6BD5B9C5" w14:textId="77777777" w:rsidR="00C20F92" w:rsidRDefault="00B07E38">
      <w:pPr>
        <w:numPr>
          <w:ilvl w:val="0"/>
          <w:numId w:val="3"/>
        </w:numPr>
        <w:pBdr>
          <w:top w:val="nil"/>
          <w:left w:val="nil"/>
          <w:bottom w:val="nil"/>
          <w:right w:val="nil"/>
          <w:between w:val="nil"/>
        </w:pBdr>
        <w:spacing w:after="0"/>
        <w:jc w:val="both"/>
        <w:rPr>
          <w:color w:val="000000"/>
        </w:rPr>
      </w:pPr>
      <w:r>
        <w:rPr>
          <w:color w:val="000000"/>
        </w:rPr>
        <w:t xml:space="preserve">Sensibilisation/formation des acteurs publics autour de l’IA, avec un focus sur la promotion des pratiques d’open </w:t>
      </w:r>
      <w:proofErr w:type="spellStart"/>
      <w:r>
        <w:rPr>
          <w:color w:val="000000"/>
        </w:rPr>
        <w:t>gov</w:t>
      </w:r>
      <w:proofErr w:type="spellEnd"/>
      <w:r>
        <w:rPr>
          <w:color w:val="000000"/>
        </w:rPr>
        <w:t xml:space="preserve"> afin de permettre la mise à disposition de données publiques, à la fois pour le développement de cas d’usages par le secteur public que par le secteur privé ;</w:t>
      </w:r>
    </w:p>
    <w:p w14:paraId="01449E73" w14:textId="77777777" w:rsidR="00C20F92" w:rsidRDefault="00B07E38">
      <w:pPr>
        <w:numPr>
          <w:ilvl w:val="0"/>
          <w:numId w:val="3"/>
        </w:numPr>
        <w:pBdr>
          <w:top w:val="nil"/>
          <w:left w:val="nil"/>
          <w:bottom w:val="nil"/>
          <w:right w:val="nil"/>
          <w:between w:val="nil"/>
        </w:pBdr>
        <w:spacing w:after="0"/>
        <w:jc w:val="both"/>
        <w:rPr>
          <w:color w:val="000000"/>
        </w:rPr>
      </w:pPr>
      <w:r>
        <w:rPr>
          <w:color w:val="000000"/>
        </w:rPr>
        <w:t>Accompagnement de startups pour le développement de cas d’usages de technologies de pointes (IA, spatial, etc.) pour répondre à des problématiques clés du Sénégal,</w:t>
      </w:r>
    </w:p>
    <w:p w14:paraId="70B427C0" w14:textId="0CFD5CF3" w:rsidR="00C20F92" w:rsidRPr="00FC512C" w:rsidRDefault="00B07E38" w:rsidP="00FC512C">
      <w:pPr>
        <w:numPr>
          <w:ilvl w:val="0"/>
          <w:numId w:val="3"/>
        </w:numPr>
        <w:pBdr>
          <w:top w:val="nil"/>
          <w:left w:val="nil"/>
          <w:bottom w:val="nil"/>
          <w:right w:val="nil"/>
          <w:between w:val="nil"/>
        </w:pBdr>
        <w:jc w:val="both"/>
        <w:rPr>
          <w:color w:val="000000"/>
        </w:rPr>
      </w:pPr>
      <w:r>
        <w:rPr>
          <w:color w:val="000000"/>
        </w:rPr>
        <w:t>Développement d’un projet pilote de « Startup d’Etat » avec un opérateur public, pour soutenir des projets d’</w:t>
      </w:r>
      <w:r w:rsidR="008449F3">
        <w:rPr>
          <w:color w:val="000000"/>
        </w:rPr>
        <w:t>entre</w:t>
      </w:r>
      <w:r>
        <w:rPr>
          <w:color w:val="000000"/>
        </w:rPr>
        <w:t>preneuriat au sein de l’administration, notamment des projets qui utilisent l’IA.</w:t>
      </w:r>
    </w:p>
    <w:p w14:paraId="4A65D228" w14:textId="28C1F902" w:rsidR="00C20F92" w:rsidRDefault="00B07E38">
      <w:pPr>
        <w:spacing w:before="240" w:after="240"/>
        <w:jc w:val="both"/>
      </w:pPr>
      <w:r>
        <w:t xml:space="preserve">Dans le cadre de la </w:t>
      </w:r>
      <w:r>
        <w:rPr>
          <w:b/>
        </w:rPr>
        <w:t xml:space="preserve">sous-composante 3 du projet </w:t>
      </w:r>
      <w:proofErr w:type="spellStart"/>
      <w:r>
        <w:rPr>
          <w:b/>
        </w:rPr>
        <w:t>GoIn'Digital</w:t>
      </w:r>
      <w:proofErr w:type="spellEnd"/>
      <w:r>
        <w:t xml:space="preserve">, le Ministère de la Communication, des Télécommunications et du Numérique (MCTN) souhaite développer un nouveau modèle d’innovation publique en s’appuyant sur le concept de </w:t>
      </w:r>
      <w:r>
        <w:rPr>
          <w:b/>
        </w:rPr>
        <w:t>Startup d’État</w:t>
      </w:r>
      <w:r>
        <w:t>. Ce modèle permet à des</w:t>
      </w:r>
      <w:r w:rsidRPr="00143DED">
        <w:t xml:space="preserve"> entrepreneurs </w:t>
      </w:r>
      <w:r>
        <w:t>de concevoir et tester des solutions numériques concrètes à des problèmes métiers identifiés dans les administrations.</w:t>
      </w:r>
    </w:p>
    <w:p w14:paraId="3F3C2777" w14:textId="0C4CB9C0" w:rsidR="00C20F92" w:rsidRDefault="00B07E38">
      <w:pPr>
        <w:spacing w:before="240" w:after="240"/>
        <w:jc w:val="both"/>
      </w:pPr>
      <w:r>
        <w:lastRenderedPageBreak/>
        <w:t xml:space="preserve">L’objectif de cette mission est de structurer un </w:t>
      </w:r>
      <w:r>
        <w:rPr>
          <w:b/>
        </w:rPr>
        <w:t>programme pilote de Startups d’État</w:t>
      </w:r>
      <w:r>
        <w:t>, porté par la CEAC, qui permettra de soutenir la conception de services publics numériques.</w:t>
      </w:r>
    </w:p>
    <w:p w14:paraId="01C2DF65" w14:textId="77777777" w:rsidR="00C20F92" w:rsidRDefault="00B07E38">
      <w:pPr>
        <w:spacing w:before="240" w:after="240"/>
        <w:jc w:val="both"/>
      </w:pPr>
      <w:r>
        <w:t xml:space="preserve">L’ambition est de créer un environnement favorable à </w:t>
      </w:r>
      <w:r>
        <w:rPr>
          <w:b/>
        </w:rPr>
        <w:t>l’émergence de solutions numériques publiques efficaces, durables et réplicables</w:t>
      </w:r>
      <w:r>
        <w:t>, en combinant (i) un accompagnement individualisé des porteurs de projets publics et (ii) des ressources dédiées (temps agent, expertises externes, budgets d’expérimentation).</w:t>
      </w:r>
    </w:p>
    <w:p w14:paraId="205B75B0" w14:textId="4C4D4826" w:rsidR="00BC58BD" w:rsidRDefault="00B07E38">
      <w:pPr>
        <w:spacing w:before="240" w:after="240"/>
        <w:jc w:val="both"/>
      </w:pPr>
      <w:r>
        <w:t xml:space="preserve">Cette démarche s’inscrit pleinement dans la dynamique du </w:t>
      </w:r>
      <w:r>
        <w:rPr>
          <w:b/>
        </w:rPr>
        <w:t>New Deal Technologique</w:t>
      </w:r>
      <w:r>
        <w:t>, en lien avec les objectifs de transformation numérique de l’État sénégalais, d’amélioration des services aux usagers, et de renforcement de la souveraineté numérique.</w:t>
      </w:r>
      <w:r w:rsidR="00BC58BD">
        <w:t xml:space="preserve"> </w:t>
      </w:r>
      <w:r w:rsidR="00BC58BD" w:rsidRPr="00BC58BD">
        <w:t>Elle devra également être articulée avec les instruments nationaux existants, tels que le Startup Act et la Politique nationale de la donnée, afin d’éviter les doublons, de maximiser les synergies et de renforcer la cohérence des politiques publiques en matière d’innovation numérique. L’objectif n’est pas seulement de tester un modèle, mais de poser les bases d’un levier durable, intégré à la stratégie globale de promotion de l’entrepreneuriat et des startups au Sénégal.</w:t>
      </w:r>
    </w:p>
    <w:p w14:paraId="35C66D3F" w14:textId="77777777" w:rsidR="00C20F92" w:rsidRDefault="00B07E38">
      <w:pPr>
        <w:shd w:val="clear" w:color="auto" w:fill="D9E2F3"/>
        <w:spacing w:before="280" w:after="280" w:line="240" w:lineRule="auto"/>
      </w:pPr>
      <w:r>
        <w:rPr>
          <w:b/>
          <w:sz w:val="32"/>
          <w:szCs w:val="32"/>
        </w:rPr>
        <w:t>Objectifs généraux de la mission</w:t>
      </w:r>
    </w:p>
    <w:p w14:paraId="1859E35B" w14:textId="5516AC14" w:rsidR="00C20F92" w:rsidRDefault="00B07E38">
      <w:pPr>
        <w:spacing w:before="240" w:after="240" w:line="240" w:lineRule="auto"/>
        <w:jc w:val="both"/>
      </w:pPr>
      <w:r>
        <w:t>La mission vise à mobiliser un prestataire capable d’accompagner la CEAC dans la conception d’un programme pilote de Startups d’État, en fournissant un appui stratégique, analytique et opérationnel sur l’ensemble du cycle de préparation. Les objectifs principaux de la mission sont les suivants :</w:t>
      </w:r>
    </w:p>
    <w:p w14:paraId="4B73C8E3" w14:textId="77777777" w:rsidR="00C20F92" w:rsidRDefault="00B07E38">
      <w:pPr>
        <w:numPr>
          <w:ilvl w:val="0"/>
          <w:numId w:val="1"/>
        </w:numPr>
        <w:spacing w:before="240" w:after="0" w:line="240" w:lineRule="auto"/>
        <w:jc w:val="both"/>
      </w:pPr>
      <w:r>
        <w:t>Réaliser une étude d’analyse préalable pour identifier les conditions, leviers et contraintes liées à la mise en œuvre d’un programme de Startups d’État adapté au contexte institutionnel sénégalais ;</w:t>
      </w:r>
    </w:p>
    <w:p w14:paraId="33EE9A76" w14:textId="77777777" w:rsidR="00C20F92" w:rsidRDefault="00B07E38">
      <w:pPr>
        <w:numPr>
          <w:ilvl w:val="0"/>
          <w:numId w:val="1"/>
        </w:numPr>
        <w:spacing w:after="0" w:line="240" w:lineRule="auto"/>
        <w:jc w:val="both"/>
      </w:pPr>
      <w:r>
        <w:t>Capitaliser sur les bonnes pratiques internationales, en organisant une visite d’étude auprès de structures ayant déployé des dispositifs similaires, afin de nourrir la réflexion stratégique et inspirer les modalités de déploiement local ;</w:t>
      </w:r>
    </w:p>
    <w:p w14:paraId="63A86D38" w14:textId="77777777" w:rsidR="00C20F92" w:rsidRDefault="00B07E38">
      <w:pPr>
        <w:numPr>
          <w:ilvl w:val="0"/>
          <w:numId w:val="1"/>
        </w:numPr>
        <w:spacing w:after="0" w:line="240" w:lineRule="auto"/>
        <w:jc w:val="both"/>
      </w:pPr>
      <w:r>
        <w:t>Élaborer une méthodologie complète pour le lancement du programme pilote, incluant les modalités de sélection des projets, d’accompagnement, de gouvernance et d’évaluation ;</w:t>
      </w:r>
    </w:p>
    <w:p w14:paraId="4F72DAB4" w14:textId="77777777" w:rsidR="00C20F92" w:rsidRDefault="00B07E38">
      <w:pPr>
        <w:numPr>
          <w:ilvl w:val="0"/>
          <w:numId w:val="1"/>
        </w:numPr>
        <w:spacing w:after="240" w:line="240" w:lineRule="auto"/>
        <w:jc w:val="both"/>
      </w:pPr>
      <w:r>
        <w:t xml:space="preserve">Proposer une feuille de route opérationnelle pour la pérennisation du dispositif, en identifiant les ressources nécessaires, les étapes de déploiement et les mécanismes d’intégration dans les politiques publiques. </w:t>
      </w:r>
    </w:p>
    <w:p w14:paraId="043D11AC" w14:textId="77777777" w:rsidR="00C20F92" w:rsidRDefault="00B07E38">
      <w:pPr>
        <w:rPr>
          <w:b/>
          <w:u w:val="single"/>
        </w:rPr>
      </w:pPr>
      <w:r>
        <w:rPr>
          <w:b/>
          <w:u w:val="single"/>
        </w:rPr>
        <w:t>Public cible</w:t>
      </w:r>
    </w:p>
    <w:p w14:paraId="35DBA4A3" w14:textId="016E760F" w:rsidR="00C20F92" w:rsidRDefault="00B07E38">
      <w:pPr>
        <w:spacing w:before="240" w:after="240"/>
        <w:jc w:val="both"/>
      </w:pPr>
      <w:r>
        <w:t xml:space="preserve">Le programme pilote de Startups d’État s’adressera à des porteurs de solutions en réponse à des problématiques métiers identifiés au sein de </w:t>
      </w:r>
      <w:r w:rsidR="00F15C76">
        <w:t>l’</w:t>
      </w:r>
      <w:r>
        <w:t>administration</w:t>
      </w:r>
      <w:r w:rsidR="00F15C76">
        <w:t xml:space="preserve"> publique</w:t>
      </w:r>
      <w:r>
        <w:t xml:space="preserve">. </w:t>
      </w:r>
    </w:p>
    <w:p w14:paraId="4647E10C" w14:textId="77777777" w:rsidR="00C20F92" w:rsidRDefault="00B07E38">
      <w:pPr>
        <w:spacing w:before="240" w:after="240"/>
        <w:jc w:val="both"/>
      </w:pPr>
      <w:r>
        <w:t xml:space="preserve">Le programme ciblera : </w:t>
      </w:r>
    </w:p>
    <w:p w14:paraId="4E916F69" w14:textId="4CE263ED" w:rsidR="00C20F92" w:rsidRDefault="00B07E38">
      <w:pPr>
        <w:numPr>
          <w:ilvl w:val="0"/>
          <w:numId w:val="2"/>
        </w:numPr>
        <w:spacing w:before="240" w:after="0"/>
        <w:jc w:val="both"/>
      </w:pPr>
      <w:proofErr w:type="gramStart"/>
      <w:r>
        <w:t>des</w:t>
      </w:r>
      <w:proofErr w:type="gramEnd"/>
      <w:r>
        <w:t xml:space="preserve"> équipes ou individus identifiés par la CEAC comme ayant un fort potentiel d’innovation ; </w:t>
      </w:r>
    </w:p>
    <w:p w14:paraId="3C6BF81F" w14:textId="77777777" w:rsidR="00C20F92" w:rsidRDefault="00B07E38">
      <w:pPr>
        <w:numPr>
          <w:ilvl w:val="0"/>
          <w:numId w:val="2"/>
        </w:numPr>
        <w:spacing w:after="0"/>
        <w:jc w:val="both"/>
      </w:pPr>
      <w:r>
        <w:t xml:space="preserve">des projets en phase d’idéation ou de prototypage, avec une faisabilité avérée et un engagement fort de la structure d’origine ; </w:t>
      </w:r>
    </w:p>
    <w:p w14:paraId="151A8319" w14:textId="77777777" w:rsidR="00C20F92" w:rsidRDefault="00B07E38">
      <w:pPr>
        <w:numPr>
          <w:ilvl w:val="0"/>
          <w:numId w:val="2"/>
        </w:numPr>
        <w:spacing w:after="240"/>
        <w:jc w:val="both"/>
      </w:pPr>
      <w:r>
        <w:t>des problématiques alignées avec les priorités stratégiques du gouvernement (services aux citoyens, éducation, santé, données publiques, etc.).</w:t>
      </w:r>
    </w:p>
    <w:p w14:paraId="352414A6" w14:textId="503B815F" w:rsidR="00C20F92" w:rsidRDefault="00B07E38">
      <w:pPr>
        <w:spacing w:before="240" w:after="240"/>
        <w:jc w:val="both"/>
      </w:pPr>
      <w:r>
        <w:lastRenderedPageBreak/>
        <w:t xml:space="preserve">La visite d’étude s’adressera à des responsables stratégiques et techniques de la CEAC (jusqu’à </w:t>
      </w:r>
      <w:r w:rsidR="00C97092">
        <w:t>3</w:t>
      </w:r>
      <w:r>
        <w:t xml:space="preserve"> voyages</w:t>
      </w:r>
      <w:r>
        <w:rPr>
          <w:vertAlign w:val="superscript"/>
        </w:rPr>
        <w:footnoteReference w:id="1"/>
      </w:r>
      <w:r>
        <w:t>), impliqués dans la conception, la coordination et le pilotage du programme.</w:t>
      </w:r>
    </w:p>
    <w:p w14:paraId="4438F17B" w14:textId="77777777" w:rsidR="00C20F92" w:rsidRDefault="00B07E38">
      <w:pPr>
        <w:spacing w:before="240" w:after="240"/>
        <w:jc w:val="both"/>
        <w:rPr>
          <w:b/>
        </w:rPr>
      </w:pPr>
      <w:r>
        <w:t xml:space="preserve">Une attention particulière sera portée à la </w:t>
      </w:r>
      <w:r>
        <w:rPr>
          <w:b/>
        </w:rPr>
        <w:t>diversité des profils</w:t>
      </w:r>
      <w:r>
        <w:t xml:space="preserve"> soutenus, avec une cible indicative de </w:t>
      </w:r>
      <w:r>
        <w:rPr>
          <w:b/>
        </w:rPr>
        <w:t>50% de femmes.</w:t>
      </w:r>
    </w:p>
    <w:p w14:paraId="5794D8F8" w14:textId="77777777" w:rsidR="00C20F92" w:rsidRDefault="00C20F92"/>
    <w:p w14:paraId="04548168" w14:textId="77777777" w:rsidR="00C20F92" w:rsidRDefault="00B07E38">
      <w:pPr>
        <w:shd w:val="clear" w:color="auto" w:fill="D9E2F3"/>
        <w:rPr>
          <w:b/>
          <w:sz w:val="32"/>
          <w:szCs w:val="32"/>
        </w:rPr>
      </w:pPr>
      <w:r>
        <w:rPr>
          <w:b/>
          <w:sz w:val="32"/>
          <w:szCs w:val="32"/>
        </w:rPr>
        <w:t>Description des prestations attendues</w:t>
      </w:r>
    </w:p>
    <w:p w14:paraId="38F5280E" w14:textId="77777777" w:rsidR="00C20F92" w:rsidRDefault="00B07E38">
      <w:pPr>
        <w:rPr>
          <w:b/>
          <w:u w:val="single"/>
        </w:rPr>
      </w:pPr>
      <w:r>
        <w:t>La prestation couvre quatre phases principales :</w:t>
      </w:r>
      <w:r>
        <w:br/>
      </w:r>
      <w:r>
        <w:br/>
      </w:r>
      <w:r>
        <w:rPr>
          <w:b/>
          <w:color w:val="FFC000"/>
        </w:rPr>
        <w:t xml:space="preserve">Phase 1 – Élaboration du plan d’accompagnement global </w:t>
      </w:r>
    </w:p>
    <w:p w14:paraId="300E808C" w14:textId="77777777" w:rsidR="00C20F92" w:rsidRDefault="00B07E38">
      <w:pPr>
        <w:spacing w:before="240" w:after="240"/>
        <w:jc w:val="both"/>
      </w:pPr>
      <w:r>
        <w:t>Cette phase vise à initier le diagnostic stratégique de faisabilité du programme de Startups d’État au Sénégal, à travers une analyse préliminaire des conditions de réussite, des contraintes institutionnelles, et des opportunités identifiées. Le rapport sera complété et finalisé après la visite d’étude (Phase 2).</w:t>
      </w:r>
    </w:p>
    <w:p w14:paraId="37663E12" w14:textId="77777777" w:rsidR="00C20F92" w:rsidRDefault="00B07E38">
      <w:pPr>
        <w:pStyle w:val="Titre4"/>
        <w:spacing w:before="240" w:after="40" w:line="259" w:lineRule="auto"/>
        <w:rPr>
          <w:rFonts w:ascii="Calibri" w:eastAsia="Calibri" w:hAnsi="Calibri" w:cs="Calibri"/>
          <w:sz w:val="22"/>
          <w:szCs w:val="22"/>
        </w:rPr>
      </w:pPr>
      <w:bookmarkStart w:id="0" w:name="_si7q1n40yowr" w:colFirst="0" w:colLast="0"/>
      <w:bookmarkEnd w:id="0"/>
      <w:r>
        <w:rPr>
          <w:rFonts w:ascii="Calibri" w:eastAsia="Calibri" w:hAnsi="Calibri" w:cs="Calibri"/>
          <w:sz w:val="22"/>
          <w:szCs w:val="22"/>
        </w:rPr>
        <w:t>1. Réalisation du diagnostic initial</w:t>
      </w:r>
    </w:p>
    <w:p w14:paraId="68680FC1" w14:textId="77777777" w:rsidR="00C20F92" w:rsidRDefault="00B07E38">
      <w:r>
        <w:t>Avant la formation, une évaluation permet de diagnostiquer les niveaux, ajuster les contenus, et lancer la dynamique d’apprentissage.</w:t>
      </w:r>
    </w:p>
    <w:tbl>
      <w:tblPr>
        <w:tblStyle w:val="8"/>
        <w:tblW w:w="894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35"/>
        <w:gridCol w:w="3285"/>
        <w:gridCol w:w="2220"/>
      </w:tblGrid>
      <w:tr w:rsidR="00C20F92" w14:paraId="6958A4B7" w14:textId="77777777">
        <w:trPr>
          <w:trHeight w:val="295"/>
        </w:trPr>
        <w:tc>
          <w:tcPr>
            <w:tcW w:w="3435" w:type="dxa"/>
            <w:tcBorders>
              <w:top w:val="single" w:sz="4" w:space="0" w:color="000000"/>
              <w:left w:val="single" w:sz="4" w:space="0" w:color="000000"/>
              <w:bottom w:val="single" w:sz="4" w:space="0" w:color="000000"/>
              <w:right w:val="single" w:sz="4" w:space="0" w:color="000000"/>
            </w:tcBorders>
            <w:shd w:val="clear" w:color="auto" w:fill="D9E2F3"/>
          </w:tcPr>
          <w:p w14:paraId="7B31496F" w14:textId="77777777" w:rsidR="00C20F92" w:rsidRDefault="00B07E38">
            <w:pPr>
              <w:spacing w:after="160" w:line="259" w:lineRule="auto"/>
              <w:rPr>
                <w:b/>
                <w:color w:val="1F3864"/>
              </w:rPr>
            </w:pPr>
            <w:r>
              <w:rPr>
                <w:b/>
                <w:color w:val="1F3864"/>
              </w:rPr>
              <w:t>Objectifs</w:t>
            </w:r>
          </w:p>
        </w:tc>
        <w:tc>
          <w:tcPr>
            <w:tcW w:w="3285" w:type="dxa"/>
            <w:tcBorders>
              <w:top w:val="single" w:sz="4" w:space="0" w:color="000000"/>
              <w:left w:val="single" w:sz="4" w:space="0" w:color="000000"/>
              <w:bottom w:val="single" w:sz="4" w:space="0" w:color="000000"/>
              <w:right w:val="single" w:sz="4" w:space="0" w:color="000000"/>
            </w:tcBorders>
            <w:shd w:val="clear" w:color="auto" w:fill="D9E2F3"/>
          </w:tcPr>
          <w:p w14:paraId="2CDB1DDD" w14:textId="77777777" w:rsidR="00C20F92" w:rsidRDefault="00B07E38">
            <w:pPr>
              <w:spacing w:after="160" w:line="259" w:lineRule="auto"/>
              <w:rPr>
                <w:b/>
                <w:color w:val="1F3864"/>
              </w:rPr>
            </w:pPr>
            <w:r>
              <w:rPr>
                <w:b/>
                <w:color w:val="1F3864"/>
              </w:rPr>
              <w:t>Contenus</w:t>
            </w:r>
          </w:p>
        </w:tc>
        <w:tc>
          <w:tcPr>
            <w:tcW w:w="2220" w:type="dxa"/>
            <w:tcBorders>
              <w:top w:val="single" w:sz="4" w:space="0" w:color="000000"/>
              <w:left w:val="single" w:sz="4" w:space="0" w:color="000000"/>
              <w:bottom w:val="single" w:sz="4" w:space="0" w:color="000000"/>
              <w:right w:val="single" w:sz="4" w:space="0" w:color="000000"/>
            </w:tcBorders>
            <w:shd w:val="clear" w:color="auto" w:fill="D9E2F3"/>
          </w:tcPr>
          <w:p w14:paraId="6D15688C" w14:textId="77777777" w:rsidR="00C20F92" w:rsidRDefault="00B07E38">
            <w:pPr>
              <w:spacing w:after="160" w:line="259" w:lineRule="auto"/>
              <w:rPr>
                <w:b/>
                <w:color w:val="1F3864"/>
              </w:rPr>
            </w:pPr>
            <w:r>
              <w:rPr>
                <w:b/>
                <w:color w:val="1F3864"/>
              </w:rPr>
              <w:t>Livrables</w:t>
            </w:r>
          </w:p>
        </w:tc>
      </w:tr>
      <w:tr w:rsidR="00C20F92" w14:paraId="65CB96BB" w14:textId="77777777">
        <w:trPr>
          <w:trHeight w:val="1485"/>
        </w:trPr>
        <w:tc>
          <w:tcPr>
            <w:tcW w:w="3435" w:type="dxa"/>
            <w:tcBorders>
              <w:top w:val="single" w:sz="4" w:space="0" w:color="000000"/>
              <w:left w:val="single" w:sz="4" w:space="0" w:color="000000"/>
              <w:bottom w:val="single" w:sz="4" w:space="0" w:color="000000"/>
              <w:right w:val="single" w:sz="4" w:space="0" w:color="000000"/>
            </w:tcBorders>
          </w:tcPr>
          <w:p w14:paraId="08B3E304" w14:textId="77777777" w:rsidR="00C20F92" w:rsidRDefault="00B07E38">
            <w:pPr>
              <w:spacing w:line="259" w:lineRule="auto"/>
            </w:pPr>
            <w:r>
              <w:t>- Identifier les opportunités, contraintes et leviers de mise en œuvre du programme</w:t>
            </w:r>
          </w:p>
        </w:tc>
        <w:tc>
          <w:tcPr>
            <w:tcW w:w="3285" w:type="dxa"/>
            <w:tcBorders>
              <w:top w:val="single" w:sz="4" w:space="0" w:color="000000"/>
              <w:left w:val="single" w:sz="4" w:space="0" w:color="000000"/>
              <w:bottom w:val="single" w:sz="4" w:space="0" w:color="000000"/>
              <w:right w:val="single" w:sz="4" w:space="0" w:color="000000"/>
            </w:tcBorders>
          </w:tcPr>
          <w:p w14:paraId="7818BE75" w14:textId="77777777" w:rsidR="00C20F92" w:rsidRDefault="00B07E38">
            <w:pPr>
              <w:spacing w:line="259" w:lineRule="auto"/>
            </w:pPr>
            <w:r>
              <w:t>-  Revue des documents de référence</w:t>
            </w:r>
          </w:p>
          <w:p w14:paraId="684F7C92" w14:textId="77777777" w:rsidR="00C20F92" w:rsidRDefault="00B07E38">
            <w:pPr>
              <w:spacing w:line="259" w:lineRule="auto"/>
            </w:pPr>
            <w:r>
              <w:t>- Entretiens exploratoires avec les parties prenantes clés (CEAC, ministères, structures d’innovation)</w:t>
            </w:r>
          </w:p>
          <w:p w14:paraId="4C6AE6CC" w14:textId="77777777" w:rsidR="00C20F92" w:rsidRDefault="00B07E38">
            <w:pPr>
              <w:spacing w:line="259" w:lineRule="auto"/>
            </w:pPr>
            <w:r>
              <w:t>- Benchmark international et Analyse comparative préliminaire</w:t>
            </w:r>
          </w:p>
        </w:tc>
        <w:tc>
          <w:tcPr>
            <w:tcW w:w="2220" w:type="dxa"/>
            <w:tcBorders>
              <w:top w:val="single" w:sz="4" w:space="0" w:color="000000"/>
              <w:left w:val="single" w:sz="4" w:space="0" w:color="000000"/>
              <w:bottom w:val="single" w:sz="4" w:space="0" w:color="000000"/>
              <w:right w:val="single" w:sz="4" w:space="0" w:color="000000"/>
            </w:tcBorders>
          </w:tcPr>
          <w:p w14:paraId="3C250051" w14:textId="77777777" w:rsidR="00C20F92" w:rsidRDefault="00B07E38">
            <w:pPr>
              <w:spacing w:line="259" w:lineRule="auto"/>
            </w:pPr>
            <w:r>
              <w:t xml:space="preserve">- Note de cadrage validée </w:t>
            </w:r>
          </w:p>
          <w:p w14:paraId="34135C60" w14:textId="77777777" w:rsidR="00C20F92" w:rsidRDefault="00B07E38">
            <w:pPr>
              <w:spacing w:line="259" w:lineRule="auto"/>
            </w:pPr>
            <w:r>
              <w:t>- Rapport préliminaire d’analyse (version provisoire)</w:t>
            </w:r>
          </w:p>
        </w:tc>
      </w:tr>
    </w:tbl>
    <w:p w14:paraId="4E626531" w14:textId="77777777" w:rsidR="00C20F92" w:rsidRDefault="00C20F92">
      <w:pPr>
        <w:rPr>
          <w:b/>
        </w:rPr>
      </w:pPr>
    </w:p>
    <w:p w14:paraId="13B66B89" w14:textId="440243FB" w:rsidR="00BC58BD" w:rsidRPr="00BC58BD" w:rsidRDefault="00BC58BD" w:rsidP="00BC58BD">
      <w:pPr>
        <w:jc w:val="both"/>
        <w:rPr>
          <w:bCs/>
        </w:rPr>
      </w:pPr>
      <w:r w:rsidRPr="00BC58BD">
        <w:rPr>
          <w:bCs/>
        </w:rPr>
        <w:t>Cette première étape devra aussi intégrer une réflexion sur les cadres existants (Startup Act, Politique nationale de la donnée) afin de garantir l’articulation du futur programme avec les politiques publiques nationales et éviter les redondances.</w:t>
      </w:r>
    </w:p>
    <w:p w14:paraId="2FD0D9CD" w14:textId="77777777" w:rsidR="00C20F92" w:rsidRDefault="00B07E38">
      <w:r>
        <w:rPr>
          <w:b/>
        </w:rPr>
        <w:t>2. Préparation de la visite d’étude</w:t>
      </w:r>
    </w:p>
    <w:tbl>
      <w:tblPr>
        <w:tblStyle w:val="7"/>
        <w:tblW w:w="883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45"/>
        <w:gridCol w:w="2945"/>
        <w:gridCol w:w="2945"/>
      </w:tblGrid>
      <w:tr w:rsidR="00C20F92" w14:paraId="2D6CECEB" w14:textId="77777777">
        <w:trPr>
          <w:trHeight w:val="483"/>
        </w:trPr>
        <w:tc>
          <w:tcPr>
            <w:tcW w:w="2945" w:type="dxa"/>
            <w:tcBorders>
              <w:top w:val="single" w:sz="4" w:space="0" w:color="000000"/>
              <w:left w:val="single" w:sz="4" w:space="0" w:color="000000"/>
              <w:bottom w:val="single" w:sz="4" w:space="0" w:color="000000"/>
              <w:right w:val="single" w:sz="4" w:space="0" w:color="000000"/>
            </w:tcBorders>
            <w:shd w:val="clear" w:color="auto" w:fill="D9E2F3"/>
          </w:tcPr>
          <w:p w14:paraId="7A404E82" w14:textId="77777777" w:rsidR="00C20F92" w:rsidRDefault="00B07E38">
            <w:pPr>
              <w:spacing w:after="160" w:line="259" w:lineRule="auto"/>
              <w:rPr>
                <w:b/>
                <w:color w:val="002060"/>
              </w:rPr>
            </w:pPr>
            <w:r>
              <w:rPr>
                <w:b/>
                <w:color w:val="002060"/>
              </w:rPr>
              <w:t>Objectifs</w:t>
            </w:r>
          </w:p>
        </w:tc>
        <w:tc>
          <w:tcPr>
            <w:tcW w:w="2945" w:type="dxa"/>
            <w:tcBorders>
              <w:top w:val="single" w:sz="4" w:space="0" w:color="000000"/>
              <w:left w:val="single" w:sz="4" w:space="0" w:color="000000"/>
              <w:bottom w:val="single" w:sz="4" w:space="0" w:color="000000"/>
              <w:right w:val="single" w:sz="4" w:space="0" w:color="000000"/>
            </w:tcBorders>
            <w:shd w:val="clear" w:color="auto" w:fill="D9E2F3"/>
          </w:tcPr>
          <w:p w14:paraId="1010C48B" w14:textId="77777777" w:rsidR="00C20F92" w:rsidRDefault="00B07E38">
            <w:pPr>
              <w:spacing w:after="160" w:line="259" w:lineRule="auto"/>
              <w:rPr>
                <w:b/>
                <w:color w:val="002060"/>
              </w:rPr>
            </w:pPr>
            <w:r>
              <w:rPr>
                <w:b/>
                <w:color w:val="002060"/>
              </w:rPr>
              <w:t>Contenus</w:t>
            </w:r>
          </w:p>
        </w:tc>
        <w:tc>
          <w:tcPr>
            <w:tcW w:w="2945" w:type="dxa"/>
            <w:tcBorders>
              <w:top w:val="single" w:sz="4" w:space="0" w:color="000000"/>
              <w:left w:val="single" w:sz="4" w:space="0" w:color="000000"/>
              <w:bottom w:val="single" w:sz="4" w:space="0" w:color="000000"/>
              <w:right w:val="single" w:sz="4" w:space="0" w:color="000000"/>
            </w:tcBorders>
            <w:shd w:val="clear" w:color="auto" w:fill="D9E2F3"/>
          </w:tcPr>
          <w:p w14:paraId="6E50D0F3" w14:textId="77777777" w:rsidR="00C20F92" w:rsidRDefault="00B07E38">
            <w:pPr>
              <w:spacing w:after="160" w:line="259" w:lineRule="auto"/>
              <w:rPr>
                <w:b/>
                <w:color w:val="002060"/>
              </w:rPr>
            </w:pPr>
            <w:r>
              <w:rPr>
                <w:b/>
                <w:color w:val="002060"/>
              </w:rPr>
              <w:t>Livrables</w:t>
            </w:r>
          </w:p>
        </w:tc>
      </w:tr>
      <w:tr w:rsidR="00C20F92" w14:paraId="37665E1C" w14:textId="77777777">
        <w:trPr>
          <w:trHeight w:val="2057"/>
        </w:trPr>
        <w:tc>
          <w:tcPr>
            <w:tcW w:w="2945" w:type="dxa"/>
            <w:tcBorders>
              <w:top w:val="single" w:sz="4" w:space="0" w:color="000000"/>
              <w:left w:val="single" w:sz="4" w:space="0" w:color="000000"/>
              <w:bottom w:val="single" w:sz="4" w:space="0" w:color="000000"/>
              <w:right w:val="single" w:sz="4" w:space="0" w:color="000000"/>
            </w:tcBorders>
          </w:tcPr>
          <w:p w14:paraId="46C9C9EA" w14:textId="77777777" w:rsidR="00C20F92" w:rsidRDefault="00B07E38">
            <w:pPr>
              <w:spacing w:line="259" w:lineRule="auto"/>
            </w:pPr>
            <w:r>
              <w:t>- Préparer le cadre méthodologique et stratégique de la mission à l’international</w:t>
            </w:r>
          </w:p>
        </w:tc>
        <w:tc>
          <w:tcPr>
            <w:tcW w:w="2945" w:type="dxa"/>
            <w:tcBorders>
              <w:top w:val="single" w:sz="4" w:space="0" w:color="000000"/>
              <w:left w:val="single" w:sz="4" w:space="0" w:color="000000"/>
              <w:bottom w:val="single" w:sz="4" w:space="0" w:color="000000"/>
              <w:right w:val="single" w:sz="4" w:space="0" w:color="000000"/>
            </w:tcBorders>
          </w:tcPr>
          <w:p w14:paraId="1D3DBBC0" w14:textId="788AF4E0" w:rsidR="00E12B00" w:rsidRDefault="00B07E38">
            <w:pPr>
              <w:spacing w:line="259" w:lineRule="auto"/>
            </w:pPr>
            <w:r>
              <w:t xml:space="preserve">- </w:t>
            </w:r>
            <w:r w:rsidR="00E12B00" w:rsidRPr="00E12B00">
              <w:t>Atelier de préparation au changement et d’identification des besoins</w:t>
            </w:r>
            <w:r w:rsidR="00E12B00">
              <w:t xml:space="preserve"> avec la CEAC</w:t>
            </w:r>
          </w:p>
          <w:p w14:paraId="4653E7FB" w14:textId="7BF0C29F" w:rsidR="00C20F92" w:rsidRDefault="00E12B00">
            <w:pPr>
              <w:spacing w:line="259" w:lineRule="auto"/>
            </w:pPr>
            <w:r>
              <w:t xml:space="preserve">- </w:t>
            </w:r>
            <w:r w:rsidR="00B07E38">
              <w:t xml:space="preserve">Définition des objectifs de la visite </w:t>
            </w:r>
          </w:p>
          <w:p w14:paraId="1BF75716" w14:textId="49B1136F" w:rsidR="00C20F92" w:rsidRDefault="00B07E38">
            <w:pPr>
              <w:spacing w:line="259" w:lineRule="auto"/>
            </w:pPr>
            <w:r>
              <w:lastRenderedPageBreak/>
              <w:t>- Identification des structures à visiter (4</w:t>
            </w:r>
            <w:r w:rsidR="00C97092">
              <w:t>-5</w:t>
            </w:r>
            <w:r>
              <w:t xml:space="preserve"> </w:t>
            </w:r>
            <w:r w:rsidR="00C97092">
              <w:t>structures</w:t>
            </w:r>
            <w:r>
              <w:t xml:space="preserve"> max)</w:t>
            </w:r>
          </w:p>
          <w:p w14:paraId="5E27EE35" w14:textId="631E4193" w:rsidR="00C20F92" w:rsidRDefault="00B07E38">
            <w:pPr>
              <w:spacing w:line="259" w:lineRule="auto"/>
            </w:pPr>
            <w:r>
              <w:t>- Élaboration du programme et briefing des participants</w:t>
            </w:r>
          </w:p>
          <w:p w14:paraId="6461BCFE" w14:textId="7CA0C817" w:rsidR="00D10B6C" w:rsidRDefault="00D10B6C" w:rsidP="00D10B6C">
            <w:pPr>
              <w:spacing w:line="259" w:lineRule="auto"/>
            </w:pPr>
            <w:r>
              <w:t>- Fiche de collecte des retours terrain</w:t>
            </w:r>
          </w:p>
          <w:p w14:paraId="56E08396" w14:textId="149C378A" w:rsidR="00D10B6C" w:rsidRDefault="00D10B6C">
            <w:pPr>
              <w:spacing w:line="259" w:lineRule="auto"/>
            </w:pPr>
          </w:p>
          <w:p w14:paraId="7AD4A4BB" w14:textId="77777777" w:rsidR="00D10B6C" w:rsidRDefault="00D10B6C">
            <w:pPr>
              <w:spacing w:line="259" w:lineRule="auto"/>
            </w:pPr>
          </w:p>
        </w:tc>
        <w:tc>
          <w:tcPr>
            <w:tcW w:w="2945" w:type="dxa"/>
            <w:tcBorders>
              <w:top w:val="single" w:sz="4" w:space="0" w:color="000000"/>
              <w:left w:val="single" w:sz="4" w:space="0" w:color="000000"/>
              <w:bottom w:val="single" w:sz="4" w:space="0" w:color="000000"/>
              <w:right w:val="single" w:sz="4" w:space="0" w:color="000000"/>
            </w:tcBorders>
          </w:tcPr>
          <w:p w14:paraId="4AC08D8C" w14:textId="77777777" w:rsidR="00C20F92" w:rsidRDefault="00B07E38">
            <w:pPr>
              <w:spacing w:line="259" w:lineRule="auto"/>
            </w:pPr>
            <w:r>
              <w:lastRenderedPageBreak/>
              <w:t xml:space="preserve">- Programme de mission </w:t>
            </w:r>
          </w:p>
          <w:p w14:paraId="09C3CB99" w14:textId="77777777" w:rsidR="00C20F92" w:rsidRDefault="00C20F92" w:rsidP="008A2BC5"/>
        </w:tc>
      </w:tr>
    </w:tbl>
    <w:p w14:paraId="6D35347B" w14:textId="77777777" w:rsidR="00C20F92" w:rsidRDefault="00C20F92">
      <w:pPr>
        <w:rPr>
          <w:b/>
          <w:color w:val="FFC000"/>
        </w:rPr>
      </w:pPr>
    </w:p>
    <w:p w14:paraId="58F494C2" w14:textId="56B6B08F" w:rsidR="00047A22" w:rsidRPr="00BA0711" w:rsidRDefault="00047A22" w:rsidP="00047A22">
      <w:r w:rsidRPr="00A90A64">
        <w:t>La sélection du lieu de la visite d’étude devra être orientée vers des dispositifs ayant su créer/adapter le modèle Startup d’État à des contextes institutionnels similaires.</w:t>
      </w:r>
      <w:r>
        <w:t xml:space="preserve"> </w:t>
      </w:r>
    </w:p>
    <w:p w14:paraId="2D2B4A7F" w14:textId="77777777" w:rsidR="00C20F92" w:rsidRDefault="00C20F92">
      <w:pPr>
        <w:rPr>
          <w:b/>
          <w:color w:val="FFC000"/>
        </w:rPr>
      </w:pPr>
    </w:p>
    <w:p w14:paraId="70D5AEB2" w14:textId="77777777" w:rsidR="00C20F92" w:rsidRDefault="00B07E38">
      <w:pPr>
        <w:rPr>
          <w:b/>
          <w:color w:val="FFC000"/>
        </w:rPr>
      </w:pPr>
      <w:r>
        <w:rPr>
          <w:b/>
          <w:color w:val="FFC000"/>
        </w:rPr>
        <w:t>Phase 2 – Visite d’étude internationale</w:t>
      </w:r>
    </w:p>
    <w:p w14:paraId="509BC438" w14:textId="3EFDABB0" w:rsidR="00C20F92" w:rsidRDefault="00B07E38">
      <w:pPr>
        <w:jc w:val="both"/>
      </w:pPr>
      <w:r>
        <w:t>Cette phase permettra aux acteurs institutionnels (CEAC) d’explorer les bonnes pratiques internationales en matière de Startups d’État, tout en finalisant l’analyse stratégique à partir des retours d’expérience issus de la mission.</w:t>
      </w:r>
    </w:p>
    <w:p w14:paraId="02C3855E" w14:textId="77777777" w:rsidR="00C20F92" w:rsidRDefault="00B07E38">
      <w:r>
        <w:rPr>
          <w:b/>
        </w:rPr>
        <w:t>1. Réalisation de la visite</w:t>
      </w:r>
    </w:p>
    <w:tbl>
      <w:tblPr>
        <w:tblStyle w:val="6"/>
        <w:tblW w:w="864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80"/>
        <w:gridCol w:w="2880"/>
        <w:gridCol w:w="2880"/>
      </w:tblGrid>
      <w:tr w:rsidR="00C20F92" w14:paraId="6E7F46D4" w14:textId="77777777">
        <w:tc>
          <w:tcPr>
            <w:tcW w:w="2880" w:type="dxa"/>
            <w:tcBorders>
              <w:top w:val="single" w:sz="4" w:space="0" w:color="000000"/>
              <w:left w:val="single" w:sz="4" w:space="0" w:color="000000"/>
              <w:bottom w:val="single" w:sz="4" w:space="0" w:color="000000"/>
              <w:right w:val="single" w:sz="4" w:space="0" w:color="000000"/>
            </w:tcBorders>
            <w:shd w:val="clear" w:color="auto" w:fill="D9E2F3"/>
          </w:tcPr>
          <w:p w14:paraId="21E025A4" w14:textId="77777777" w:rsidR="00C20F92" w:rsidRDefault="00B07E38">
            <w:pPr>
              <w:spacing w:after="160" w:line="259" w:lineRule="auto"/>
              <w:rPr>
                <w:b/>
                <w:color w:val="002060"/>
              </w:rPr>
            </w:pPr>
            <w:r>
              <w:rPr>
                <w:b/>
                <w:color w:val="002060"/>
              </w:rPr>
              <w:t>Objectifs</w:t>
            </w:r>
          </w:p>
        </w:tc>
        <w:tc>
          <w:tcPr>
            <w:tcW w:w="2880" w:type="dxa"/>
            <w:tcBorders>
              <w:top w:val="single" w:sz="4" w:space="0" w:color="000000"/>
              <w:left w:val="single" w:sz="4" w:space="0" w:color="000000"/>
              <w:bottom w:val="single" w:sz="4" w:space="0" w:color="000000"/>
              <w:right w:val="single" w:sz="4" w:space="0" w:color="000000"/>
            </w:tcBorders>
            <w:shd w:val="clear" w:color="auto" w:fill="D9E2F3"/>
          </w:tcPr>
          <w:p w14:paraId="2F10CACA" w14:textId="77777777" w:rsidR="00C20F92" w:rsidRDefault="00B07E38">
            <w:pPr>
              <w:spacing w:after="160" w:line="259" w:lineRule="auto"/>
              <w:rPr>
                <w:b/>
                <w:color w:val="002060"/>
              </w:rPr>
            </w:pPr>
            <w:r>
              <w:rPr>
                <w:b/>
                <w:color w:val="002060"/>
              </w:rPr>
              <w:t>Contenus</w:t>
            </w:r>
          </w:p>
        </w:tc>
        <w:tc>
          <w:tcPr>
            <w:tcW w:w="2880" w:type="dxa"/>
            <w:tcBorders>
              <w:top w:val="single" w:sz="4" w:space="0" w:color="000000"/>
              <w:left w:val="single" w:sz="4" w:space="0" w:color="000000"/>
              <w:bottom w:val="single" w:sz="4" w:space="0" w:color="000000"/>
              <w:right w:val="single" w:sz="4" w:space="0" w:color="000000"/>
            </w:tcBorders>
            <w:shd w:val="clear" w:color="auto" w:fill="D9E2F3"/>
          </w:tcPr>
          <w:p w14:paraId="3240796E" w14:textId="77777777" w:rsidR="00C20F92" w:rsidRDefault="00B07E38">
            <w:pPr>
              <w:spacing w:after="160" w:line="259" w:lineRule="auto"/>
              <w:rPr>
                <w:b/>
                <w:color w:val="002060"/>
              </w:rPr>
            </w:pPr>
            <w:r>
              <w:rPr>
                <w:b/>
                <w:color w:val="002060"/>
              </w:rPr>
              <w:t>Livrables</w:t>
            </w:r>
          </w:p>
        </w:tc>
      </w:tr>
      <w:tr w:rsidR="00C20F92" w14:paraId="1753F439" w14:textId="77777777">
        <w:tc>
          <w:tcPr>
            <w:tcW w:w="2880" w:type="dxa"/>
            <w:tcBorders>
              <w:top w:val="single" w:sz="4" w:space="0" w:color="000000"/>
              <w:left w:val="single" w:sz="4" w:space="0" w:color="000000"/>
              <w:bottom w:val="single" w:sz="4" w:space="0" w:color="000000"/>
              <w:right w:val="single" w:sz="4" w:space="0" w:color="000000"/>
            </w:tcBorders>
          </w:tcPr>
          <w:p w14:paraId="23CD1300" w14:textId="77777777" w:rsidR="00C20F92" w:rsidRDefault="00B07E38">
            <w:pPr>
              <w:spacing w:line="259" w:lineRule="auto"/>
            </w:pPr>
            <w:r>
              <w:t>Exposer les bénéficiaires aux pratiques inspirantes pour orienter la structuration locale</w:t>
            </w:r>
          </w:p>
        </w:tc>
        <w:tc>
          <w:tcPr>
            <w:tcW w:w="2880" w:type="dxa"/>
            <w:tcBorders>
              <w:top w:val="single" w:sz="4" w:space="0" w:color="000000"/>
              <w:left w:val="single" w:sz="4" w:space="0" w:color="000000"/>
              <w:bottom w:val="single" w:sz="4" w:space="0" w:color="000000"/>
              <w:right w:val="single" w:sz="4" w:space="0" w:color="000000"/>
            </w:tcBorders>
          </w:tcPr>
          <w:p w14:paraId="0D5EB4B4" w14:textId="14C4F4E6" w:rsidR="00C20F92" w:rsidRDefault="00B07E38">
            <w:pPr>
              <w:spacing w:line="259" w:lineRule="auto"/>
            </w:pPr>
            <w:r>
              <w:t xml:space="preserve">- Déplacement de l’équipe  </w:t>
            </w:r>
          </w:p>
          <w:p w14:paraId="05471EBB" w14:textId="77777777" w:rsidR="00C20F92" w:rsidRDefault="00B07E38">
            <w:pPr>
              <w:spacing w:line="259" w:lineRule="auto"/>
            </w:pPr>
            <w:r>
              <w:t>- Visites de terrain, échanges avec les structures hôtes</w:t>
            </w:r>
          </w:p>
          <w:p w14:paraId="1472AE66" w14:textId="77777777" w:rsidR="00C20F92" w:rsidRDefault="00B07E38">
            <w:pPr>
              <w:spacing w:line="259" w:lineRule="auto"/>
            </w:pPr>
            <w:r>
              <w:t>- Capitalisation en temps réel</w:t>
            </w:r>
          </w:p>
        </w:tc>
        <w:tc>
          <w:tcPr>
            <w:tcW w:w="2880" w:type="dxa"/>
            <w:tcBorders>
              <w:top w:val="single" w:sz="4" w:space="0" w:color="000000"/>
              <w:left w:val="single" w:sz="4" w:space="0" w:color="000000"/>
              <w:bottom w:val="single" w:sz="4" w:space="0" w:color="000000"/>
              <w:right w:val="single" w:sz="4" w:space="0" w:color="000000"/>
            </w:tcBorders>
          </w:tcPr>
          <w:p w14:paraId="2C1E0935" w14:textId="5F280A7E" w:rsidR="00C20F92" w:rsidRDefault="00B07E38">
            <w:pPr>
              <w:spacing w:line="259" w:lineRule="auto"/>
            </w:pPr>
            <w:r>
              <w:t>- Rapport de mission</w:t>
            </w:r>
            <w:r w:rsidR="00D10B6C">
              <w:t>, incluant la s</w:t>
            </w:r>
            <w:r>
              <w:t>ynthèse des bonnes pratiques</w:t>
            </w:r>
            <w:r w:rsidR="00D10B6C">
              <w:t xml:space="preserve"> et des r</w:t>
            </w:r>
            <w:r>
              <w:t>ecommandations préliminaires</w:t>
            </w:r>
          </w:p>
        </w:tc>
      </w:tr>
    </w:tbl>
    <w:p w14:paraId="0ACCEA81" w14:textId="77777777" w:rsidR="00C20F92" w:rsidRDefault="00C20F92">
      <w:pPr>
        <w:rPr>
          <w:b/>
        </w:rPr>
      </w:pPr>
    </w:p>
    <w:p w14:paraId="7C02BBCC" w14:textId="12ED996A" w:rsidR="00047A22" w:rsidRDefault="00047A22">
      <w:pPr>
        <w:rPr>
          <w:b/>
        </w:rPr>
      </w:pPr>
      <w:r w:rsidRPr="00047A22">
        <w:t>Une fois la visite d’étude effectuée, une traduction opérationnelle immédiate devra être intégrée (pistes d’adaptation, appui au design local).</w:t>
      </w:r>
    </w:p>
    <w:p w14:paraId="724D0863" w14:textId="77777777" w:rsidR="00C20F92" w:rsidRDefault="00B07E38">
      <w:r>
        <w:rPr>
          <w:b/>
        </w:rPr>
        <w:t>2. Finalisation du rapport d’analyse stratégique</w:t>
      </w:r>
    </w:p>
    <w:tbl>
      <w:tblPr>
        <w:tblStyle w:val="5"/>
        <w:tblW w:w="864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80"/>
        <w:gridCol w:w="2880"/>
        <w:gridCol w:w="2880"/>
      </w:tblGrid>
      <w:tr w:rsidR="00C20F92" w14:paraId="626CE121" w14:textId="77777777">
        <w:tc>
          <w:tcPr>
            <w:tcW w:w="2880" w:type="dxa"/>
            <w:tcBorders>
              <w:top w:val="single" w:sz="4" w:space="0" w:color="000000"/>
              <w:left w:val="single" w:sz="4" w:space="0" w:color="000000"/>
              <w:bottom w:val="single" w:sz="4" w:space="0" w:color="000000"/>
              <w:right w:val="single" w:sz="4" w:space="0" w:color="000000"/>
            </w:tcBorders>
            <w:shd w:val="clear" w:color="auto" w:fill="D9E2F3"/>
          </w:tcPr>
          <w:p w14:paraId="1047C0A5" w14:textId="77777777" w:rsidR="00C20F92" w:rsidRDefault="00B07E38">
            <w:pPr>
              <w:spacing w:after="160" w:line="259" w:lineRule="auto"/>
              <w:rPr>
                <w:b/>
                <w:color w:val="002060"/>
              </w:rPr>
            </w:pPr>
            <w:r>
              <w:rPr>
                <w:b/>
                <w:color w:val="002060"/>
              </w:rPr>
              <w:t>Objectifs</w:t>
            </w:r>
          </w:p>
        </w:tc>
        <w:tc>
          <w:tcPr>
            <w:tcW w:w="2880" w:type="dxa"/>
            <w:tcBorders>
              <w:top w:val="single" w:sz="4" w:space="0" w:color="000000"/>
              <w:left w:val="single" w:sz="4" w:space="0" w:color="000000"/>
              <w:bottom w:val="single" w:sz="4" w:space="0" w:color="000000"/>
              <w:right w:val="single" w:sz="4" w:space="0" w:color="000000"/>
            </w:tcBorders>
            <w:shd w:val="clear" w:color="auto" w:fill="D9E2F3"/>
          </w:tcPr>
          <w:p w14:paraId="2BB62507" w14:textId="77777777" w:rsidR="00C20F92" w:rsidRDefault="00B07E38">
            <w:pPr>
              <w:spacing w:after="160" w:line="259" w:lineRule="auto"/>
              <w:rPr>
                <w:b/>
                <w:color w:val="002060"/>
              </w:rPr>
            </w:pPr>
            <w:r>
              <w:rPr>
                <w:b/>
                <w:color w:val="002060"/>
              </w:rPr>
              <w:t>Contenus</w:t>
            </w:r>
          </w:p>
        </w:tc>
        <w:tc>
          <w:tcPr>
            <w:tcW w:w="2880" w:type="dxa"/>
            <w:tcBorders>
              <w:top w:val="single" w:sz="4" w:space="0" w:color="000000"/>
              <w:left w:val="single" w:sz="4" w:space="0" w:color="000000"/>
              <w:bottom w:val="single" w:sz="4" w:space="0" w:color="000000"/>
              <w:right w:val="single" w:sz="4" w:space="0" w:color="000000"/>
            </w:tcBorders>
            <w:shd w:val="clear" w:color="auto" w:fill="D9E2F3"/>
          </w:tcPr>
          <w:p w14:paraId="05B74208" w14:textId="77777777" w:rsidR="00C20F92" w:rsidRDefault="00B07E38">
            <w:pPr>
              <w:spacing w:after="160" w:line="259" w:lineRule="auto"/>
              <w:rPr>
                <w:b/>
                <w:color w:val="002060"/>
              </w:rPr>
            </w:pPr>
            <w:r>
              <w:rPr>
                <w:b/>
                <w:color w:val="002060"/>
              </w:rPr>
              <w:t>Livrables</w:t>
            </w:r>
          </w:p>
        </w:tc>
      </w:tr>
      <w:tr w:rsidR="00C20F92" w14:paraId="3880F34F" w14:textId="77777777">
        <w:tc>
          <w:tcPr>
            <w:tcW w:w="2880" w:type="dxa"/>
            <w:tcBorders>
              <w:top w:val="single" w:sz="4" w:space="0" w:color="000000"/>
              <w:left w:val="single" w:sz="4" w:space="0" w:color="000000"/>
              <w:bottom w:val="single" w:sz="4" w:space="0" w:color="000000"/>
              <w:right w:val="single" w:sz="4" w:space="0" w:color="000000"/>
            </w:tcBorders>
          </w:tcPr>
          <w:p w14:paraId="06059FFC" w14:textId="77777777" w:rsidR="00C20F92" w:rsidRDefault="00B07E38">
            <w:pPr>
              <w:spacing w:line="259" w:lineRule="auto"/>
            </w:pPr>
            <w:r>
              <w:t>- Intégrer les enseignements internationaux pour ajuster le diagnostic et les orientations</w:t>
            </w:r>
          </w:p>
        </w:tc>
        <w:tc>
          <w:tcPr>
            <w:tcW w:w="2880" w:type="dxa"/>
            <w:tcBorders>
              <w:top w:val="single" w:sz="4" w:space="0" w:color="000000"/>
              <w:left w:val="single" w:sz="4" w:space="0" w:color="000000"/>
              <w:bottom w:val="single" w:sz="4" w:space="0" w:color="000000"/>
              <w:right w:val="single" w:sz="4" w:space="0" w:color="000000"/>
            </w:tcBorders>
          </w:tcPr>
          <w:p w14:paraId="20D736BA" w14:textId="03FF7EC2" w:rsidR="00BC58BD" w:rsidRDefault="00B07E38">
            <w:pPr>
              <w:spacing w:line="259" w:lineRule="auto"/>
            </w:pPr>
            <w:r>
              <w:t xml:space="preserve">- Actualisation du benchmark - Consolidation des leviers institutionnels et opérationnels </w:t>
            </w:r>
          </w:p>
        </w:tc>
        <w:tc>
          <w:tcPr>
            <w:tcW w:w="2880" w:type="dxa"/>
            <w:tcBorders>
              <w:top w:val="single" w:sz="4" w:space="0" w:color="000000"/>
              <w:left w:val="single" w:sz="4" w:space="0" w:color="000000"/>
              <w:bottom w:val="single" w:sz="4" w:space="0" w:color="000000"/>
              <w:right w:val="single" w:sz="4" w:space="0" w:color="000000"/>
            </w:tcBorders>
          </w:tcPr>
          <w:p w14:paraId="79075664" w14:textId="096151EA" w:rsidR="00C20F92" w:rsidRDefault="00B07E38">
            <w:pPr>
              <w:spacing w:line="259" w:lineRule="auto"/>
            </w:pPr>
            <w:r>
              <w:t>- Rapport final d’analyse validé</w:t>
            </w:r>
            <w:r w:rsidR="00D10B6C">
              <w:t>, incluant une s</w:t>
            </w:r>
            <w:r>
              <w:t xml:space="preserve">ynthèse stratégique </w:t>
            </w:r>
          </w:p>
          <w:p w14:paraId="298A44DF" w14:textId="77777777" w:rsidR="00C20F92" w:rsidRDefault="00B07E38">
            <w:pPr>
              <w:spacing w:line="259" w:lineRule="auto"/>
            </w:pPr>
            <w:r>
              <w:t>- Note de cadrage du programme pilote</w:t>
            </w:r>
          </w:p>
        </w:tc>
      </w:tr>
    </w:tbl>
    <w:p w14:paraId="4602DE70" w14:textId="77777777" w:rsidR="00C20F92" w:rsidRDefault="00C20F92"/>
    <w:p w14:paraId="10CE2200" w14:textId="67A3B192" w:rsidR="00047A22" w:rsidRDefault="00047A22">
      <w:r>
        <w:t xml:space="preserve">Ce rapport devra inclure : </w:t>
      </w:r>
    </w:p>
    <w:p w14:paraId="72D2A862" w14:textId="77777777" w:rsidR="00047A22" w:rsidRPr="00047A22" w:rsidRDefault="00047A22" w:rsidP="00047A22">
      <w:pPr>
        <w:numPr>
          <w:ilvl w:val="0"/>
          <w:numId w:val="14"/>
        </w:numPr>
        <w:spacing w:line="278" w:lineRule="auto"/>
      </w:pPr>
      <w:r w:rsidRPr="00047A22">
        <w:t>Le rôle attendu de la CEAC et de SENUM à l’issue du pilote, en tant que porteurs pérennes du dispositif ;</w:t>
      </w:r>
    </w:p>
    <w:p w14:paraId="1692BE67" w14:textId="77777777" w:rsidR="00047A22" w:rsidRPr="00047A22" w:rsidRDefault="00047A22" w:rsidP="00047A22">
      <w:pPr>
        <w:numPr>
          <w:ilvl w:val="0"/>
          <w:numId w:val="14"/>
        </w:numPr>
        <w:spacing w:line="278" w:lineRule="auto"/>
      </w:pPr>
      <w:r w:rsidRPr="00047A22">
        <w:t>Les conditions d’intégration du programme dans la stratégie de transformation de l’administration ;</w:t>
      </w:r>
    </w:p>
    <w:p w14:paraId="169F2034" w14:textId="77777777" w:rsidR="00047A22" w:rsidRDefault="00047A22" w:rsidP="00047A22">
      <w:pPr>
        <w:numPr>
          <w:ilvl w:val="0"/>
          <w:numId w:val="14"/>
        </w:numPr>
        <w:spacing w:line="278" w:lineRule="auto"/>
      </w:pPr>
      <w:r w:rsidRPr="00047A22">
        <w:lastRenderedPageBreak/>
        <w:t>Une vision claire de l’articulation avec les autres outils publics existants, pour éviter la dispersion des efforts.</w:t>
      </w:r>
    </w:p>
    <w:p w14:paraId="1737A40B" w14:textId="16406835" w:rsidR="00BC58BD" w:rsidRPr="00047A22" w:rsidRDefault="00BC58BD" w:rsidP="00047A22">
      <w:pPr>
        <w:numPr>
          <w:ilvl w:val="0"/>
          <w:numId w:val="14"/>
        </w:numPr>
        <w:spacing w:line="278" w:lineRule="auto"/>
      </w:pPr>
      <w:r>
        <w:t>Une a</w:t>
      </w:r>
      <w:r w:rsidRPr="00BC58BD">
        <w:t>nalyse d’impact, couvrant les dimensions éthiques, numériques (notamment sur la donnée), et organisationnelles.</w:t>
      </w:r>
    </w:p>
    <w:p w14:paraId="1C45C497" w14:textId="77777777" w:rsidR="00047A22" w:rsidRDefault="00047A22"/>
    <w:p w14:paraId="771C4620" w14:textId="686B90B7" w:rsidR="00C20F92" w:rsidRDefault="00B07E38">
      <w:pPr>
        <w:rPr>
          <w:b/>
          <w:color w:val="FFC000"/>
        </w:rPr>
      </w:pPr>
      <w:r>
        <w:rPr>
          <w:b/>
          <w:color w:val="FFC000"/>
        </w:rPr>
        <w:t>Phase 3 – Structuration du programme pilote et feuille de route</w:t>
      </w:r>
      <w:r w:rsidR="008449F3">
        <w:rPr>
          <w:b/>
          <w:color w:val="FFC000"/>
        </w:rPr>
        <w:t xml:space="preserve"> </w:t>
      </w:r>
    </w:p>
    <w:p w14:paraId="12BB38DB" w14:textId="77777777" w:rsidR="00C20F92" w:rsidRDefault="00B07E38">
      <w:pPr>
        <w:jc w:val="both"/>
      </w:pPr>
      <w:r>
        <w:t>Cette phase vise à traduire l’analyse stratégique en un dispositif opérationnel, intégrant la méthodologie du programme pilote et sa feuille de route de déploiement.</w:t>
      </w:r>
    </w:p>
    <w:p w14:paraId="3380ED85" w14:textId="77777777" w:rsidR="00C20F92" w:rsidRDefault="00B07E38">
      <w:r>
        <w:rPr>
          <w:b/>
        </w:rPr>
        <w:t>1. Élaboration de la méthodologie du programme pilote</w:t>
      </w:r>
    </w:p>
    <w:tbl>
      <w:tblPr>
        <w:tblStyle w:val="4"/>
        <w:tblW w:w="864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3630"/>
        <w:gridCol w:w="2730"/>
      </w:tblGrid>
      <w:tr w:rsidR="00C20F92" w14:paraId="35535719" w14:textId="77777777">
        <w:tc>
          <w:tcPr>
            <w:tcW w:w="2280" w:type="dxa"/>
            <w:tcBorders>
              <w:top w:val="single" w:sz="4" w:space="0" w:color="000000"/>
              <w:left w:val="single" w:sz="4" w:space="0" w:color="000000"/>
              <w:bottom w:val="single" w:sz="4" w:space="0" w:color="000000"/>
              <w:right w:val="single" w:sz="4" w:space="0" w:color="000000"/>
            </w:tcBorders>
            <w:shd w:val="clear" w:color="auto" w:fill="D9E2F3"/>
          </w:tcPr>
          <w:p w14:paraId="7424D77D" w14:textId="77777777" w:rsidR="00C20F92" w:rsidRDefault="00B07E38">
            <w:pPr>
              <w:spacing w:after="160" w:line="259" w:lineRule="auto"/>
              <w:rPr>
                <w:b/>
                <w:color w:val="002060"/>
              </w:rPr>
            </w:pPr>
            <w:r>
              <w:rPr>
                <w:b/>
                <w:color w:val="002060"/>
              </w:rPr>
              <w:t>Objectifs</w:t>
            </w:r>
          </w:p>
        </w:tc>
        <w:tc>
          <w:tcPr>
            <w:tcW w:w="3630" w:type="dxa"/>
            <w:tcBorders>
              <w:top w:val="single" w:sz="4" w:space="0" w:color="000000"/>
              <w:left w:val="single" w:sz="4" w:space="0" w:color="000000"/>
              <w:bottom w:val="single" w:sz="4" w:space="0" w:color="000000"/>
              <w:right w:val="single" w:sz="4" w:space="0" w:color="000000"/>
            </w:tcBorders>
            <w:shd w:val="clear" w:color="auto" w:fill="D9E2F3"/>
          </w:tcPr>
          <w:p w14:paraId="446BBDE3" w14:textId="77777777" w:rsidR="00C20F92" w:rsidRDefault="00B07E38">
            <w:pPr>
              <w:spacing w:after="160" w:line="259" w:lineRule="auto"/>
              <w:rPr>
                <w:b/>
                <w:color w:val="002060"/>
              </w:rPr>
            </w:pPr>
            <w:r>
              <w:rPr>
                <w:b/>
                <w:color w:val="002060"/>
              </w:rPr>
              <w:t>Contenus</w:t>
            </w:r>
          </w:p>
        </w:tc>
        <w:tc>
          <w:tcPr>
            <w:tcW w:w="2730" w:type="dxa"/>
            <w:tcBorders>
              <w:top w:val="single" w:sz="4" w:space="0" w:color="000000"/>
              <w:left w:val="single" w:sz="4" w:space="0" w:color="000000"/>
              <w:bottom w:val="single" w:sz="4" w:space="0" w:color="000000"/>
              <w:right w:val="single" w:sz="4" w:space="0" w:color="000000"/>
            </w:tcBorders>
            <w:shd w:val="clear" w:color="auto" w:fill="D9E2F3"/>
          </w:tcPr>
          <w:p w14:paraId="74608175" w14:textId="77777777" w:rsidR="00C20F92" w:rsidRDefault="00B07E38">
            <w:pPr>
              <w:spacing w:after="160" w:line="259" w:lineRule="auto"/>
              <w:rPr>
                <w:b/>
                <w:color w:val="002060"/>
              </w:rPr>
            </w:pPr>
            <w:r>
              <w:rPr>
                <w:b/>
                <w:color w:val="002060"/>
              </w:rPr>
              <w:t>Livrables</w:t>
            </w:r>
          </w:p>
        </w:tc>
      </w:tr>
      <w:tr w:rsidR="00C20F92" w14:paraId="0D7868C2" w14:textId="77777777">
        <w:tc>
          <w:tcPr>
            <w:tcW w:w="2280" w:type="dxa"/>
            <w:tcBorders>
              <w:top w:val="single" w:sz="4" w:space="0" w:color="000000"/>
              <w:left w:val="single" w:sz="4" w:space="0" w:color="000000"/>
              <w:bottom w:val="single" w:sz="4" w:space="0" w:color="000000"/>
              <w:right w:val="single" w:sz="4" w:space="0" w:color="000000"/>
            </w:tcBorders>
          </w:tcPr>
          <w:p w14:paraId="59411BA5" w14:textId="77777777" w:rsidR="00C20F92" w:rsidRDefault="00B07E38">
            <w:pPr>
              <w:spacing w:line="259" w:lineRule="auto"/>
            </w:pPr>
            <w:r>
              <w:t>Proposer un modèle adapté de Startup d’État au Sénégal</w:t>
            </w:r>
          </w:p>
        </w:tc>
        <w:tc>
          <w:tcPr>
            <w:tcW w:w="3630" w:type="dxa"/>
            <w:tcBorders>
              <w:top w:val="single" w:sz="4" w:space="0" w:color="000000"/>
              <w:left w:val="single" w:sz="4" w:space="0" w:color="000000"/>
              <w:bottom w:val="single" w:sz="4" w:space="0" w:color="000000"/>
              <w:right w:val="single" w:sz="4" w:space="0" w:color="000000"/>
            </w:tcBorders>
          </w:tcPr>
          <w:p w14:paraId="31CE604F" w14:textId="77777777" w:rsidR="00C20F92" w:rsidRDefault="00B07E38">
            <w:pPr>
              <w:spacing w:line="259" w:lineRule="auto"/>
            </w:pPr>
            <w:r>
              <w:t xml:space="preserve">- Processus de sélection et de validation des projets </w:t>
            </w:r>
          </w:p>
          <w:p w14:paraId="55518898" w14:textId="4B7F7B8E" w:rsidR="00C20F92" w:rsidRDefault="00B07E38">
            <w:pPr>
              <w:spacing w:line="259" w:lineRule="auto"/>
            </w:pPr>
            <w:r>
              <w:t>- Modalités d’incubation/</w:t>
            </w:r>
            <w:r w:rsidR="008449F3">
              <w:t>entre</w:t>
            </w:r>
            <w:r>
              <w:t xml:space="preserve">preneuriat public </w:t>
            </w:r>
          </w:p>
          <w:p w14:paraId="33F21D84" w14:textId="77777777" w:rsidR="00C20F92" w:rsidRDefault="00B07E38">
            <w:pPr>
              <w:spacing w:line="259" w:lineRule="auto"/>
            </w:pPr>
            <w:r>
              <w:t>- Gouvernance, évaluation et pilotage</w:t>
            </w:r>
          </w:p>
        </w:tc>
        <w:tc>
          <w:tcPr>
            <w:tcW w:w="2730" w:type="dxa"/>
            <w:tcBorders>
              <w:top w:val="single" w:sz="4" w:space="0" w:color="000000"/>
              <w:left w:val="single" w:sz="4" w:space="0" w:color="000000"/>
              <w:bottom w:val="single" w:sz="4" w:space="0" w:color="000000"/>
              <w:right w:val="single" w:sz="4" w:space="0" w:color="000000"/>
            </w:tcBorders>
          </w:tcPr>
          <w:p w14:paraId="6A6312D0" w14:textId="77777777" w:rsidR="00C20F92" w:rsidRDefault="00B07E38">
            <w:pPr>
              <w:spacing w:line="259" w:lineRule="auto"/>
            </w:pPr>
            <w:r>
              <w:t xml:space="preserve">- Guide méthodologique </w:t>
            </w:r>
          </w:p>
          <w:p w14:paraId="75D5A8CD" w14:textId="6E1AE9F6" w:rsidR="00C20F92" w:rsidRDefault="00B07E38">
            <w:pPr>
              <w:spacing w:line="259" w:lineRule="auto"/>
            </w:pPr>
            <w:r>
              <w:t>- Outils opérationnels (</w:t>
            </w:r>
            <w:r w:rsidR="00BC58BD">
              <w:t xml:space="preserve">« kit de réplication », </w:t>
            </w:r>
            <w:r>
              <w:t>grilles, fiches projet, canevas)</w:t>
            </w:r>
          </w:p>
          <w:p w14:paraId="20B9A840" w14:textId="77777777" w:rsidR="00C20F92" w:rsidRDefault="00C20F92">
            <w:pPr>
              <w:spacing w:line="259" w:lineRule="auto"/>
            </w:pPr>
          </w:p>
        </w:tc>
      </w:tr>
    </w:tbl>
    <w:p w14:paraId="5F579538" w14:textId="77777777" w:rsidR="00C20F92" w:rsidRDefault="00C20F92">
      <w:pPr>
        <w:rPr>
          <w:b/>
        </w:rPr>
      </w:pPr>
    </w:p>
    <w:p w14:paraId="5801CD5D" w14:textId="6C75EB97" w:rsidR="00332016" w:rsidRDefault="00332016">
      <w:pPr>
        <w:rPr>
          <w:b/>
        </w:rPr>
      </w:pPr>
      <w:r>
        <w:rPr>
          <w:b/>
        </w:rPr>
        <w:t>2. Ateliers de structuration du programme/validation de la méthodologie</w:t>
      </w:r>
    </w:p>
    <w:tbl>
      <w:tblPr>
        <w:tblStyle w:val="4"/>
        <w:tblW w:w="864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80"/>
        <w:gridCol w:w="3630"/>
        <w:gridCol w:w="2730"/>
      </w:tblGrid>
      <w:tr w:rsidR="00332016" w14:paraId="069DB5D6" w14:textId="77777777" w:rsidTr="00F53BA6">
        <w:tc>
          <w:tcPr>
            <w:tcW w:w="2280" w:type="dxa"/>
            <w:tcBorders>
              <w:top w:val="single" w:sz="4" w:space="0" w:color="000000"/>
              <w:left w:val="single" w:sz="4" w:space="0" w:color="000000"/>
              <w:bottom w:val="single" w:sz="4" w:space="0" w:color="000000"/>
              <w:right w:val="single" w:sz="4" w:space="0" w:color="000000"/>
            </w:tcBorders>
            <w:shd w:val="clear" w:color="auto" w:fill="D9E2F3"/>
          </w:tcPr>
          <w:p w14:paraId="18F88CFF" w14:textId="77777777" w:rsidR="00332016" w:rsidRDefault="00332016" w:rsidP="00F53BA6">
            <w:pPr>
              <w:spacing w:after="160" w:line="259" w:lineRule="auto"/>
              <w:rPr>
                <w:b/>
                <w:color w:val="002060"/>
              </w:rPr>
            </w:pPr>
            <w:r>
              <w:rPr>
                <w:b/>
                <w:color w:val="002060"/>
              </w:rPr>
              <w:t>Objectifs</w:t>
            </w:r>
          </w:p>
        </w:tc>
        <w:tc>
          <w:tcPr>
            <w:tcW w:w="3630" w:type="dxa"/>
            <w:tcBorders>
              <w:top w:val="single" w:sz="4" w:space="0" w:color="000000"/>
              <w:left w:val="single" w:sz="4" w:space="0" w:color="000000"/>
              <w:bottom w:val="single" w:sz="4" w:space="0" w:color="000000"/>
              <w:right w:val="single" w:sz="4" w:space="0" w:color="000000"/>
            </w:tcBorders>
            <w:shd w:val="clear" w:color="auto" w:fill="D9E2F3"/>
          </w:tcPr>
          <w:p w14:paraId="1245C96A" w14:textId="77777777" w:rsidR="00332016" w:rsidRDefault="00332016" w:rsidP="00F53BA6">
            <w:pPr>
              <w:spacing w:after="160" w:line="259" w:lineRule="auto"/>
              <w:rPr>
                <w:b/>
                <w:color w:val="002060"/>
              </w:rPr>
            </w:pPr>
            <w:r>
              <w:rPr>
                <w:b/>
                <w:color w:val="002060"/>
              </w:rPr>
              <w:t>Contenus</w:t>
            </w:r>
          </w:p>
        </w:tc>
        <w:tc>
          <w:tcPr>
            <w:tcW w:w="2730" w:type="dxa"/>
            <w:tcBorders>
              <w:top w:val="single" w:sz="4" w:space="0" w:color="000000"/>
              <w:left w:val="single" w:sz="4" w:space="0" w:color="000000"/>
              <w:bottom w:val="single" w:sz="4" w:space="0" w:color="000000"/>
              <w:right w:val="single" w:sz="4" w:space="0" w:color="000000"/>
            </w:tcBorders>
            <w:shd w:val="clear" w:color="auto" w:fill="D9E2F3"/>
          </w:tcPr>
          <w:p w14:paraId="1A4C9285" w14:textId="77777777" w:rsidR="00332016" w:rsidRDefault="00332016" w:rsidP="00F53BA6">
            <w:pPr>
              <w:spacing w:after="160" w:line="259" w:lineRule="auto"/>
              <w:rPr>
                <w:b/>
                <w:color w:val="002060"/>
              </w:rPr>
            </w:pPr>
            <w:r>
              <w:rPr>
                <w:b/>
                <w:color w:val="002060"/>
              </w:rPr>
              <w:t>Livrables</w:t>
            </w:r>
          </w:p>
        </w:tc>
      </w:tr>
      <w:tr w:rsidR="00332016" w:rsidRPr="00BC58BD" w14:paraId="7E59434F" w14:textId="77777777" w:rsidTr="00F53BA6">
        <w:tc>
          <w:tcPr>
            <w:tcW w:w="2280" w:type="dxa"/>
            <w:tcBorders>
              <w:top w:val="single" w:sz="4" w:space="0" w:color="000000"/>
              <w:left w:val="single" w:sz="4" w:space="0" w:color="000000"/>
              <w:bottom w:val="single" w:sz="4" w:space="0" w:color="000000"/>
              <w:right w:val="single" w:sz="4" w:space="0" w:color="000000"/>
            </w:tcBorders>
          </w:tcPr>
          <w:p w14:paraId="6B558B16" w14:textId="41C242BB" w:rsidR="00332016" w:rsidRDefault="00332016" w:rsidP="00F53BA6">
            <w:pPr>
              <w:spacing w:line="259" w:lineRule="auto"/>
            </w:pPr>
            <w:r>
              <w:t>S’assurer que le programme proposé soit adapté aux réalités locales</w:t>
            </w:r>
            <w:r w:rsidR="006A4EC6">
              <w:t>, et transférer les connaissances</w:t>
            </w:r>
          </w:p>
        </w:tc>
        <w:tc>
          <w:tcPr>
            <w:tcW w:w="3630" w:type="dxa"/>
            <w:tcBorders>
              <w:top w:val="single" w:sz="4" w:space="0" w:color="000000"/>
              <w:left w:val="single" w:sz="4" w:space="0" w:color="000000"/>
              <w:bottom w:val="single" w:sz="4" w:space="0" w:color="000000"/>
              <w:right w:val="single" w:sz="4" w:space="0" w:color="000000"/>
            </w:tcBorders>
          </w:tcPr>
          <w:p w14:paraId="143CD85C" w14:textId="77777777" w:rsidR="006A4EC6" w:rsidRDefault="00332016" w:rsidP="00332016">
            <w:pPr>
              <w:spacing w:line="259" w:lineRule="auto"/>
            </w:pPr>
            <w:r>
              <w:t>- Un ou plusieurs ateliers de structuration/validation de la méthodologie du programme pilote par les parties prenantes (administration publique, écosystème, etc.).</w:t>
            </w:r>
            <w:r w:rsidR="006A4EC6">
              <w:t xml:space="preserve"> </w:t>
            </w:r>
          </w:p>
          <w:p w14:paraId="563FD7BE" w14:textId="105586CB" w:rsidR="006A4EC6" w:rsidRDefault="006A4EC6" w:rsidP="00332016">
            <w:pPr>
              <w:spacing w:line="259" w:lineRule="auto"/>
            </w:pPr>
            <w:r>
              <w:t>- Renforcement des capacités des partenaires locaux</w:t>
            </w:r>
          </w:p>
        </w:tc>
        <w:tc>
          <w:tcPr>
            <w:tcW w:w="2730" w:type="dxa"/>
            <w:tcBorders>
              <w:top w:val="single" w:sz="4" w:space="0" w:color="000000"/>
              <w:left w:val="single" w:sz="4" w:space="0" w:color="000000"/>
              <w:bottom w:val="single" w:sz="4" w:space="0" w:color="000000"/>
              <w:right w:val="single" w:sz="4" w:space="0" w:color="000000"/>
            </w:tcBorders>
          </w:tcPr>
          <w:p w14:paraId="617363B6" w14:textId="03BEB5CC" w:rsidR="00332016" w:rsidRPr="00BC58BD" w:rsidRDefault="00332016" w:rsidP="00F53BA6">
            <w:pPr>
              <w:spacing w:line="259" w:lineRule="auto"/>
            </w:pPr>
            <w:r w:rsidRPr="00BC58BD">
              <w:t>Rapport(s) d’atelier(s)</w:t>
            </w:r>
            <w:r w:rsidR="00BC58BD" w:rsidRPr="00BC58BD">
              <w:t xml:space="preserve"> </w:t>
            </w:r>
            <w:r w:rsidR="00BC58BD">
              <w:t>documentant</w:t>
            </w:r>
            <w:r w:rsidR="00BC58BD" w:rsidRPr="00BC58BD">
              <w:t xml:space="preserve"> les échanges, idées clés, et enseignements partagés</w:t>
            </w:r>
          </w:p>
          <w:p w14:paraId="22C518E8" w14:textId="77777777" w:rsidR="00332016" w:rsidRPr="00BC58BD" w:rsidRDefault="00332016" w:rsidP="00F53BA6">
            <w:pPr>
              <w:spacing w:line="259" w:lineRule="auto"/>
            </w:pPr>
          </w:p>
        </w:tc>
      </w:tr>
    </w:tbl>
    <w:p w14:paraId="528C6CF0" w14:textId="77777777" w:rsidR="00332016" w:rsidRPr="00BC58BD" w:rsidRDefault="00332016">
      <w:pPr>
        <w:rPr>
          <w:b/>
        </w:rPr>
      </w:pPr>
    </w:p>
    <w:p w14:paraId="3E046EC5" w14:textId="77777777" w:rsidR="00C20F92" w:rsidRDefault="00B07E38">
      <w:r>
        <w:rPr>
          <w:b/>
        </w:rPr>
        <w:t>2. Construction de la feuille de route</w:t>
      </w:r>
    </w:p>
    <w:tbl>
      <w:tblPr>
        <w:tblStyle w:val="3"/>
        <w:tblW w:w="864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80"/>
        <w:gridCol w:w="2880"/>
        <w:gridCol w:w="2880"/>
      </w:tblGrid>
      <w:tr w:rsidR="00C20F92" w14:paraId="4C40E9D2" w14:textId="77777777">
        <w:tc>
          <w:tcPr>
            <w:tcW w:w="2880" w:type="dxa"/>
            <w:tcBorders>
              <w:top w:val="single" w:sz="4" w:space="0" w:color="000000"/>
              <w:left w:val="single" w:sz="4" w:space="0" w:color="000000"/>
              <w:bottom w:val="single" w:sz="4" w:space="0" w:color="000000"/>
              <w:right w:val="single" w:sz="4" w:space="0" w:color="000000"/>
            </w:tcBorders>
            <w:shd w:val="clear" w:color="auto" w:fill="D9E2F3"/>
          </w:tcPr>
          <w:p w14:paraId="4B1A44D9" w14:textId="77777777" w:rsidR="00C20F92" w:rsidRDefault="00B07E38">
            <w:pPr>
              <w:spacing w:after="160" w:line="259" w:lineRule="auto"/>
              <w:rPr>
                <w:b/>
                <w:color w:val="002060"/>
              </w:rPr>
            </w:pPr>
            <w:r>
              <w:rPr>
                <w:b/>
                <w:color w:val="002060"/>
              </w:rPr>
              <w:t>Objectifs</w:t>
            </w:r>
          </w:p>
        </w:tc>
        <w:tc>
          <w:tcPr>
            <w:tcW w:w="2880" w:type="dxa"/>
            <w:tcBorders>
              <w:top w:val="single" w:sz="4" w:space="0" w:color="000000"/>
              <w:left w:val="single" w:sz="4" w:space="0" w:color="000000"/>
              <w:bottom w:val="single" w:sz="4" w:space="0" w:color="000000"/>
              <w:right w:val="single" w:sz="4" w:space="0" w:color="000000"/>
            </w:tcBorders>
            <w:shd w:val="clear" w:color="auto" w:fill="D9E2F3"/>
          </w:tcPr>
          <w:p w14:paraId="49D00509" w14:textId="77777777" w:rsidR="00C20F92" w:rsidRDefault="00B07E38">
            <w:pPr>
              <w:spacing w:after="160" w:line="259" w:lineRule="auto"/>
              <w:rPr>
                <w:b/>
                <w:color w:val="002060"/>
              </w:rPr>
            </w:pPr>
            <w:r>
              <w:rPr>
                <w:b/>
                <w:color w:val="002060"/>
              </w:rPr>
              <w:t>Contenus</w:t>
            </w:r>
          </w:p>
        </w:tc>
        <w:tc>
          <w:tcPr>
            <w:tcW w:w="2880" w:type="dxa"/>
            <w:tcBorders>
              <w:top w:val="single" w:sz="4" w:space="0" w:color="000000"/>
              <w:left w:val="single" w:sz="4" w:space="0" w:color="000000"/>
              <w:bottom w:val="single" w:sz="4" w:space="0" w:color="000000"/>
              <w:right w:val="single" w:sz="4" w:space="0" w:color="000000"/>
            </w:tcBorders>
            <w:shd w:val="clear" w:color="auto" w:fill="D9E2F3"/>
          </w:tcPr>
          <w:p w14:paraId="4C5DF9B1" w14:textId="77777777" w:rsidR="00C20F92" w:rsidRDefault="00B07E38">
            <w:pPr>
              <w:spacing w:after="160" w:line="259" w:lineRule="auto"/>
              <w:rPr>
                <w:b/>
                <w:color w:val="002060"/>
              </w:rPr>
            </w:pPr>
            <w:r>
              <w:rPr>
                <w:b/>
                <w:color w:val="002060"/>
              </w:rPr>
              <w:t>Livrables</w:t>
            </w:r>
          </w:p>
        </w:tc>
      </w:tr>
      <w:tr w:rsidR="00C20F92" w14:paraId="13EFDA7F" w14:textId="77777777">
        <w:tc>
          <w:tcPr>
            <w:tcW w:w="2880" w:type="dxa"/>
            <w:tcBorders>
              <w:top w:val="single" w:sz="4" w:space="0" w:color="000000"/>
              <w:left w:val="single" w:sz="4" w:space="0" w:color="000000"/>
              <w:bottom w:val="single" w:sz="4" w:space="0" w:color="000000"/>
              <w:right w:val="single" w:sz="4" w:space="0" w:color="000000"/>
            </w:tcBorders>
          </w:tcPr>
          <w:p w14:paraId="7156F40E" w14:textId="77777777" w:rsidR="00C20F92" w:rsidRDefault="00B07E38">
            <w:pPr>
              <w:spacing w:line="259" w:lineRule="auto"/>
            </w:pPr>
            <w:r>
              <w:t>- Définir les conditions de pérennisation et d’extension du programme</w:t>
            </w:r>
          </w:p>
          <w:p w14:paraId="2FDDA3F7" w14:textId="77777777" w:rsidR="00C20F92" w:rsidRDefault="00C20F92">
            <w:pPr>
              <w:spacing w:line="259" w:lineRule="auto"/>
            </w:pPr>
          </w:p>
        </w:tc>
        <w:tc>
          <w:tcPr>
            <w:tcW w:w="2880" w:type="dxa"/>
            <w:tcBorders>
              <w:top w:val="single" w:sz="4" w:space="0" w:color="000000"/>
              <w:left w:val="single" w:sz="4" w:space="0" w:color="000000"/>
              <w:bottom w:val="single" w:sz="4" w:space="0" w:color="000000"/>
              <w:right w:val="single" w:sz="4" w:space="0" w:color="000000"/>
            </w:tcBorders>
          </w:tcPr>
          <w:p w14:paraId="64E7FD57" w14:textId="77777777" w:rsidR="00C20F92" w:rsidRDefault="00B07E38">
            <w:pPr>
              <w:spacing w:line="259" w:lineRule="auto"/>
            </w:pPr>
            <w:r>
              <w:t>- Planification sur 5 ans</w:t>
            </w:r>
          </w:p>
          <w:p w14:paraId="32EEDECE" w14:textId="77777777" w:rsidR="00C20F92" w:rsidRDefault="00B07E38">
            <w:pPr>
              <w:spacing w:line="259" w:lineRule="auto"/>
            </w:pPr>
            <w:r>
              <w:t>- Identification des ressources nécessaires</w:t>
            </w:r>
          </w:p>
          <w:p w14:paraId="1E5BF488" w14:textId="12001682" w:rsidR="00D10B6C" w:rsidRDefault="00D10B6C">
            <w:pPr>
              <w:spacing w:line="259" w:lineRule="auto"/>
            </w:pPr>
            <w:r>
              <w:t>- Positionnement institutionnel</w:t>
            </w:r>
          </w:p>
          <w:p w14:paraId="10E64367" w14:textId="77777777" w:rsidR="00C20F92" w:rsidRDefault="00C20F92">
            <w:pPr>
              <w:spacing w:line="259" w:lineRule="auto"/>
            </w:pPr>
          </w:p>
        </w:tc>
        <w:tc>
          <w:tcPr>
            <w:tcW w:w="2880" w:type="dxa"/>
            <w:tcBorders>
              <w:top w:val="single" w:sz="4" w:space="0" w:color="000000"/>
              <w:left w:val="single" w:sz="4" w:space="0" w:color="000000"/>
              <w:bottom w:val="single" w:sz="4" w:space="0" w:color="000000"/>
              <w:right w:val="single" w:sz="4" w:space="0" w:color="000000"/>
            </w:tcBorders>
          </w:tcPr>
          <w:p w14:paraId="6CB49397" w14:textId="77777777" w:rsidR="00C20F92" w:rsidRDefault="00B07E38">
            <w:pPr>
              <w:spacing w:line="259" w:lineRule="auto"/>
            </w:pPr>
            <w:r>
              <w:t xml:space="preserve">- Feuille de route validée </w:t>
            </w:r>
          </w:p>
          <w:p w14:paraId="18B93340" w14:textId="77777777" w:rsidR="00C20F92" w:rsidRDefault="00C20F92" w:rsidP="00B96718"/>
        </w:tc>
      </w:tr>
    </w:tbl>
    <w:p w14:paraId="4884943D" w14:textId="77777777" w:rsidR="00C20F92" w:rsidRDefault="00C20F92"/>
    <w:p w14:paraId="166CE169" w14:textId="77777777" w:rsidR="00FC512C" w:rsidRDefault="00FC512C"/>
    <w:p w14:paraId="0C8C1EE8" w14:textId="77777777" w:rsidR="00FC512C" w:rsidRDefault="00FC512C"/>
    <w:p w14:paraId="28001C6D" w14:textId="536A1265" w:rsidR="00FA7761" w:rsidRDefault="00FA7761" w:rsidP="00FA7761">
      <w:pPr>
        <w:shd w:val="clear" w:color="auto" w:fill="D9E2F3"/>
        <w:rPr>
          <w:b/>
          <w:sz w:val="32"/>
          <w:szCs w:val="32"/>
        </w:rPr>
      </w:pPr>
      <w:r>
        <w:rPr>
          <w:b/>
          <w:sz w:val="32"/>
          <w:szCs w:val="32"/>
        </w:rPr>
        <w:lastRenderedPageBreak/>
        <w:t xml:space="preserve">LIVRABLES </w:t>
      </w:r>
    </w:p>
    <w:tbl>
      <w:tblPr>
        <w:tblStyle w:val="Grilledutableau"/>
        <w:tblW w:w="0" w:type="auto"/>
        <w:jc w:val="center"/>
        <w:tblLayout w:type="fixed"/>
        <w:tblLook w:val="04A0" w:firstRow="1" w:lastRow="0" w:firstColumn="1" w:lastColumn="0" w:noHBand="0" w:noVBand="1"/>
      </w:tblPr>
      <w:tblGrid>
        <w:gridCol w:w="6889"/>
        <w:gridCol w:w="1935"/>
      </w:tblGrid>
      <w:tr w:rsidR="00FA7761" w14:paraId="3B6E0978" w14:textId="77777777" w:rsidTr="00FA7761">
        <w:trPr>
          <w:trHeight w:val="545"/>
          <w:jc w:val="center"/>
        </w:trPr>
        <w:tc>
          <w:tcPr>
            <w:tcW w:w="6889" w:type="dxa"/>
            <w:vAlign w:val="center"/>
          </w:tcPr>
          <w:p w14:paraId="1FD8A489" w14:textId="77777777" w:rsidR="00FA7761" w:rsidRPr="001E3A22" w:rsidRDefault="00FA7761" w:rsidP="00F53BA6">
            <w:pPr>
              <w:jc w:val="center"/>
              <w:rPr>
                <w:rFonts w:ascii="Calibri" w:eastAsia="Arial Unicode MS" w:hAnsi="Calibri" w:cs="Arial Unicode MS"/>
                <w:b/>
                <w:sz w:val="22"/>
                <w:szCs w:val="22"/>
                <w:lang w:eastAsia="en-US"/>
              </w:rPr>
            </w:pPr>
            <w:bookmarkStart w:id="1" w:name="_Hlk181900723"/>
            <w:r w:rsidRPr="001E3A22">
              <w:rPr>
                <w:rFonts w:ascii="Calibri" w:eastAsia="Arial Unicode MS" w:hAnsi="Calibri" w:cs="Arial Unicode MS"/>
                <w:b/>
                <w:sz w:val="22"/>
                <w:szCs w:val="22"/>
                <w:lang w:eastAsia="en-US"/>
              </w:rPr>
              <w:t>Livrables</w:t>
            </w:r>
          </w:p>
        </w:tc>
        <w:tc>
          <w:tcPr>
            <w:tcW w:w="1935" w:type="dxa"/>
            <w:vAlign w:val="center"/>
          </w:tcPr>
          <w:p w14:paraId="552CD96F" w14:textId="055AE726" w:rsidR="00FA7761" w:rsidRPr="001E3A22" w:rsidRDefault="00FA7761" w:rsidP="00F53BA6">
            <w:pPr>
              <w:rPr>
                <w:rFonts w:ascii="Calibri" w:eastAsia="Arial Unicode MS" w:hAnsi="Calibri" w:cs="Arial Unicode MS"/>
                <w:b/>
                <w:sz w:val="22"/>
                <w:szCs w:val="22"/>
                <w:lang w:eastAsia="en-US"/>
              </w:rPr>
            </w:pPr>
            <w:r w:rsidRPr="001E3A22">
              <w:rPr>
                <w:rFonts w:ascii="Calibri" w:eastAsia="Arial Unicode MS" w:hAnsi="Calibri" w:cs="Arial Unicode MS"/>
                <w:b/>
                <w:sz w:val="22"/>
                <w:szCs w:val="22"/>
                <w:lang w:eastAsia="en-US"/>
              </w:rPr>
              <w:t>Date de livraison</w:t>
            </w:r>
          </w:p>
        </w:tc>
      </w:tr>
      <w:tr w:rsidR="00FA7761" w14:paraId="65896ED8" w14:textId="77777777" w:rsidTr="00FA7761">
        <w:trPr>
          <w:trHeight w:val="271"/>
          <w:jc w:val="center"/>
        </w:trPr>
        <w:tc>
          <w:tcPr>
            <w:tcW w:w="6889" w:type="dxa"/>
            <w:shd w:val="clear" w:color="auto" w:fill="auto"/>
          </w:tcPr>
          <w:p w14:paraId="6D5A376B" w14:textId="29CE002B" w:rsidR="00FA7761" w:rsidRPr="00FA7761" w:rsidRDefault="00FA7761" w:rsidP="00FA7761">
            <w:pPr>
              <w:pStyle w:val="Paragraphedeliste"/>
              <w:numPr>
                <w:ilvl w:val="0"/>
                <w:numId w:val="18"/>
              </w:numPr>
              <w:jc w:val="both"/>
              <w:rPr>
                <w:rFonts w:eastAsia="Arial Unicode MS" w:cs="Arial Unicode MS"/>
                <w:bCs/>
                <w:lang w:eastAsia="en-US"/>
              </w:rPr>
            </w:pPr>
            <w:r w:rsidRPr="00FA7761">
              <w:rPr>
                <w:rFonts w:ascii="Calibri" w:eastAsia="Arial Unicode MS" w:hAnsi="Calibri" w:cs="Arial Unicode MS"/>
                <w:bCs/>
                <w:color w:val="000000"/>
                <w:sz w:val="22"/>
                <w:szCs w:val="22"/>
                <w:lang w:eastAsia="en-US"/>
              </w:rPr>
              <w:t>Note de cadrage</w:t>
            </w:r>
          </w:p>
        </w:tc>
        <w:tc>
          <w:tcPr>
            <w:tcW w:w="1935" w:type="dxa"/>
            <w:shd w:val="clear" w:color="auto" w:fill="auto"/>
            <w:vAlign w:val="center"/>
          </w:tcPr>
          <w:p w14:paraId="390CF8FC" w14:textId="15D49079" w:rsidR="00FA7761" w:rsidRDefault="00E12B00" w:rsidP="00F53BA6">
            <w:pPr>
              <w:rPr>
                <w:rFonts w:ascii="Calibri" w:eastAsia="Arial Unicode MS" w:hAnsi="Calibri" w:cs="Arial Unicode MS"/>
                <w:sz w:val="22"/>
                <w:szCs w:val="22"/>
                <w:lang w:eastAsia="en-US"/>
              </w:rPr>
            </w:pPr>
            <w:r>
              <w:rPr>
                <w:rFonts w:ascii="Calibri" w:eastAsia="Arial Unicode MS" w:hAnsi="Calibri" w:cs="Arial Unicode MS"/>
                <w:sz w:val="22"/>
                <w:szCs w:val="22"/>
                <w:lang w:eastAsia="en-US"/>
              </w:rPr>
              <w:t>15</w:t>
            </w:r>
            <w:r w:rsidR="00FA7761">
              <w:rPr>
                <w:rFonts w:ascii="Calibri" w:eastAsia="Arial Unicode MS" w:hAnsi="Calibri" w:cs="Arial Unicode MS"/>
                <w:sz w:val="22"/>
                <w:szCs w:val="22"/>
                <w:lang w:eastAsia="en-US"/>
              </w:rPr>
              <w:t>/09/2025</w:t>
            </w:r>
          </w:p>
        </w:tc>
      </w:tr>
      <w:tr w:rsidR="00FA7761" w:rsidDel="00090DC7" w14:paraId="25E6A49D" w14:textId="77777777" w:rsidTr="00FA7761">
        <w:trPr>
          <w:trHeight w:val="219"/>
          <w:jc w:val="center"/>
        </w:trPr>
        <w:tc>
          <w:tcPr>
            <w:tcW w:w="6889" w:type="dxa"/>
            <w:shd w:val="clear" w:color="auto" w:fill="auto"/>
          </w:tcPr>
          <w:p w14:paraId="00D2D7D0" w14:textId="36B9620E" w:rsidR="00FA7761" w:rsidRPr="00B02EDE" w:rsidRDefault="00FA7761" w:rsidP="00FA7761">
            <w:pPr>
              <w:pStyle w:val="Default"/>
              <w:numPr>
                <w:ilvl w:val="0"/>
                <w:numId w:val="18"/>
              </w:numPr>
              <w:spacing w:after="132"/>
              <w:jc w:val="both"/>
              <w:rPr>
                <w:rFonts w:ascii="Calibri" w:eastAsia="Arial Unicode MS" w:hAnsi="Calibri" w:cs="Arial Unicode MS"/>
                <w:bCs/>
                <w:sz w:val="22"/>
                <w:szCs w:val="22"/>
                <w:lang w:eastAsia="en-US"/>
              </w:rPr>
            </w:pPr>
            <w:r>
              <w:rPr>
                <w:rFonts w:ascii="Calibri" w:eastAsia="Arial Unicode MS" w:hAnsi="Calibri" w:cs="Arial Unicode MS"/>
                <w:bCs/>
                <w:sz w:val="22"/>
                <w:szCs w:val="22"/>
                <w:lang w:eastAsia="en-US"/>
              </w:rPr>
              <w:t>Rapport préliminaire d’analyse</w:t>
            </w:r>
          </w:p>
        </w:tc>
        <w:tc>
          <w:tcPr>
            <w:tcW w:w="1935" w:type="dxa"/>
            <w:shd w:val="clear" w:color="auto" w:fill="auto"/>
            <w:vAlign w:val="center"/>
          </w:tcPr>
          <w:p w14:paraId="33AE0A39" w14:textId="16B74162" w:rsidR="00FA7761" w:rsidRDefault="00132212" w:rsidP="00F53BA6">
            <w:pPr>
              <w:rPr>
                <w:rFonts w:ascii="Calibri" w:eastAsia="Arial Unicode MS" w:hAnsi="Calibri" w:cs="Arial Unicode MS"/>
                <w:sz w:val="22"/>
                <w:szCs w:val="22"/>
                <w:lang w:eastAsia="en-US"/>
              </w:rPr>
            </w:pPr>
            <w:r>
              <w:rPr>
                <w:rFonts w:ascii="Calibri" w:eastAsia="Arial Unicode MS" w:hAnsi="Calibri" w:cs="Arial Unicode MS"/>
                <w:sz w:val="22"/>
                <w:szCs w:val="22"/>
                <w:lang w:eastAsia="en-US"/>
              </w:rPr>
              <w:t>15</w:t>
            </w:r>
            <w:r w:rsidR="00FA7761">
              <w:rPr>
                <w:rFonts w:ascii="Calibri" w:eastAsia="Arial Unicode MS" w:hAnsi="Calibri" w:cs="Arial Unicode MS"/>
                <w:sz w:val="22"/>
                <w:szCs w:val="22"/>
                <w:lang w:eastAsia="en-US"/>
              </w:rPr>
              <w:t>/10/2025</w:t>
            </w:r>
          </w:p>
        </w:tc>
      </w:tr>
      <w:tr w:rsidR="00FA7761" w:rsidDel="00090DC7" w14:paraId="65A0DBE9" w14:textId="77777777" w:rsidTr="00FA7761">
        <w:trPr>
          <w:trHeight w:val="219"/>
          <w:jc w:val="center"/>
        </w:trPr>
        <w:tc>
          <w:tcPr>
            <w:tcW w:w="6889" w:type="dxa"/>
            <w:shd w:val="clear" w:color="auto" w:fill="auto"/>
          </w:tcPr>
          <w:p w14:paraId="06C3FFD5" w14:textId="69FAFA4C" w:rsidR="00FA7761" w:rsidRDefault="00FA7761" w:rsidP="00FA7761">
            <w:pPr>
              <w:pStyle w:val="Default"/>
              <w:numPr>
                <w:ilvl w:val="0"/>
                <w:numId w:val="18"/>
              </w:numPr>
              <w:spacing w:after="132"/>
              <w:jc w:val="both"/>
              <w:rPr>
                <w:rFonts w:ascii="Calibri" w:eastAsia="Arial Unicode MS" w:hAnsi="Calibri" w:cs="Arial Unicode MS"/>
                <w:bCs/>
                <w:sz w:val="22"/>
                <w:szCs w:val="22"/>
                <w:lang w:eastAsia="en-US"/>
              </w:rPr>
            </w:pPr>
            <w:r>
              <w:rPr>
                <w:rFonts w:ascii="Calibri" w:eastAsia="Arial Unicode MS" w:hAnsi="Calibri" w:cs="Arial Unicode MS"/>
                <w:bCs/>
                <w:color w:val="auto"/>
                <w:sz w:val="22"/>
                <w:szCs w:val="22"/>
                <w:lang w:eastAsia="en-US"/>
              </w:rPr>
              <w:t>Programme de visite d’étude</w:t>
            </w:r>
          </w:p>
        </w:tc>
        <w:tc>
          <w:tcPr>
            <w:tcW w:w="1935" w:type="dxa"/>
            <w:shd w:val="clear" w:color="auto" w:fill="auto"/>
            <w:vAlign w:val="center"/>
          </w:tcPr>
          <w:p w14:paraId="283A3784" w14:textId="0F5414C3" w:rsidR="00FA7761" w:rsidRDefault="00132212" w:rsidP="00F53BA6">
            <w:pPr>
              <w:rPr>
                <w:rFonts w:ascii="Calibri" w:eastAsia="Arial Unicode MS" w:hAnsi="Calibri" w:cs="Arial Unicode MS"/>
                <w:sz w:val="22"/>
                <w:szCs w:val="22"/>
                <w:lang w:eastAsia="en-US"/>
              </w:rPr>
            </w:pPr>
            <w:r>
              <w:rPr>
                <w:rFonts w:ascii="Calibri" w:eastAsia="Arial Unicode MS" w:hAnsi="Calibri" w:cs="Arial Unicode MS"/>
                <w:sz w:val="22"/>
                <w:szCs w:val="22"/>
                <w:lang w:eastAsia="en-US"/>
              </w:rPr>
              <w:t>15</w:t>
            </w:r>
            <w:r w:rsidR="00FA7761">
              <w:rPr>
                <w:rFonts w:ascii="Calibri" w:eastAsia="Arial Unicode MS" w:hAnsi="Calibri" w:cs="Arial Unicode MS"/>
                <w:sz w:val="22"/>
                <w:szCs w:val="22"/>
                <w:lang w:eastAsia="en-US"/>
              </w:rPr>
              <w:t>/10/202</w:t>
            </w:r>
            <w:r w:rsidR="00D10B6C">
              <w:rPr>
                <w:rFonts w:ascii="Calibri" w:eastAsia="Arial Unicode MS" w:hAnsi="Calibri" w:cs="Arial Unicode MS"/>
                <w:sz w:val="22"/>
                <w:szCs w:val="22"/>
                <w:lang w:eastAsia="en-US"/>
              </w:rPr>
              <w:t>5</w:t>
            </w:r>
          </w:p>
        </w:tc>
      </w:tr>
      <w:tr w:rsidR="00D10B6C" w:rsidDel="00090DC7" w14:paraId="7BB9962C" w14:textId="77777777" w:rsidTr="00FA7761">
        <w:trPr>
          <w:trHeight w:val="219"/>
          <w:jc w:val="center"/>
        </w:trPr>
        <w:tc>
          <w:tcPr>
            <w:tcW w:w="6889" w:type="dxa"/>
            <w:shd w:val="clear" w:color="auto" w:fill="auto"/>
          </w:tcPr>
          <w:p w14:paraId="7FD21359" w14:textId="0AD8E2FA" w:rsidR="00D10B6C" w:rsidRDefault="00D10B6C" w:rsidP="00FA7761">
            <w:pPr>
              <w:pStyle w:val="Default"/>
              <w:numPr>
                <w:ilvl w:val="0"/>
                <w:numId w:val="18"/>
              </w:numPr>
              <w:spacing w:after="132"/>
              <w:jc w:val="both"/>
              <w:rPr>
                <w:rFonts w:ascii="Calibri" w:eastAsia="Arial Unicode MS" w:hAnsi="Calibri" w:cs="Arial Unicode MS"/>
                <w:bCs/>
                <w:color w:val="auto"/>
                <w:sz w:val="22"/>
                <w:szCs w:val="22"/>
                <w:lang w:eastAsia="en-US"/>
              </w:rPr>
            </w:pPr>
            <w:r>
              <w:rPr>
                <w:rFonts w:ascii="Calibri" w:eastAsia="Arial Unicode MS" w:hAnsi="Calibri" w:cs="Arial Unicode MS"/>
                <w:bCs/>
                <w:color w:val="auto"/>
                <w:sz w:val="22"/>
                <w:szCs w:val="22"/>
                <w:lang w:eastAsia="en-US"/>
              </w:rPr>
              <w:t>Rapport de mission – visite d’étude</w:t>
            </w:r>
          </w:p>
        </w:tc>
        <w:tc>
          <w:tcPr>
            <w:tcW w:w="1935" w:type="dxa"/>
            <w:shd w:val="clear" w:color="auto" w:fill="auto"/>
            <w:vAlign w:val="center"/>
          </w:tcPr>
          <w:p w14:paraId="393D3225" w14:textId="39AD8A67" w:rsidR="00D10B6C" w:rsidRPr="00D10B6C" w:rsidRDefault="00132212" w:rsidP="00F53BA6">
            <w:pPr>
              <w:rPr>
                <w:rFonts w:asciiTheme="majorHAnsi" w:eastAsia="Arial Unicode MS" w:hAnsiTheme="majorHAnsi" w:cstheme="majorHAnsi"/>
                <w:sz w:val="22"/>
                <w:szCs w:val="22"/>
                <w:lang w:eastAsia="en-US"/>
              </w:rPr>
            </w:pPr>
            <w:r>
              <w:rPr>
                <w:rFonts w:asciiTheme="majorHAnsi" w:eastAsia="Arial Unicode MS" w:hAnsiTheme="majorHAnsi" w:cstheme="majorHAnsi"/>
                <w:sz w:val="22"/>
                <w:szCs w:val="22"/>
                <w:lang w:eastAsia="en-US"/>
              </w:rPr>
              <w:t>07</w:t>
            </w:r>
            <w:r w:rsidR="00D10B6C" w:rsidRPr="00D10B6C">
              <w:rPr>
                <w:rFonts w:asciiTheme="majorHAnsi" w:eastAsia="Arial Unicode MS" w:hAnsiTheme="majorHAnsi" w:cstheme="majorHAnsi"/>
                <w:sz w:val="22"/>
                <w:szCs w:val="22"/>
                <w:lang w:eastAsia="en-US"/>
              </w:rPr>
              <w:t>/1</w:t>
            </w:r>
            <w:r>
              <w:rPr>
                <w:rFonts w:asciiTheme="majorHAnsi" w:eastAsia="Arial Unicode MS" w:hAnsiTheme="majorHAnsi" w:cstheme="majorHAnsi"/>
                <w:sz w:val="22"/>
                <w:szCs w:val="22"/>
                <w:lang w:eastAsia="en-US"/>
              </w:rPr>
              <w:t>1</w:t>
            </w:r>
            <w:r w:rsidR="00D10B6C" w:rsidRPr="00D10B6C">
              <w:rPr>
                <w:rFonts w:asciiTheme="majorHAnsi" w:eastAsia="Arial Unicode MS" w:hAnsiTheme="majorHAnsi" w:cstheme="majorHAnsi"/>
                <w:sz w:val="22"/>
                <w:szCs w:val="22"/>
                <w:lang w:eastAsia="en-US"/>
              </w:rPr>
              <w:t>/2025</w:t>
            </w:r>
          </w:p>
        </w:tc>
      </w:tr>
      <w:tr w:rsidR="00D10B6C" w:rsidDel="00090DC7" w14:paraId="6087DA67" w14:textId="77777777" w:rsidTr="00FA7761">
        <w:trPr>
          <w:trHeight w:val="219"/>
          <w:jc w:val="center"/>
        </w:trPr>
        <w:tc>
          <w:tcPr>
            <w:tcW w:w="6889" w:type="dxa"/>
            <w:shd w:val="clear" w:color="auto" w:fill="auto"/>
          </w:tcPr>
          <w:p w14:paraId="19C302EF" w14:textId="76273FCF" w:rsidR="00D10B6C" w:rsidRPr="00D10B6C" w:rsidRDefault="00D10B6C" w:rsidP="00FA7761">
            <w:pPr>
              <w:pStyle w:val="Default"/>
              <w:numPr>
                <w:ilvl w:val="0"/>
                <w:numId w:val="18"/>
              </w:numPr>
              <w:spacing w:after="132"/>
              <w:jc w:val="both"/>
              <w:rPr>
                <w:rFonts w:asciiTheme="majorHAnsi" w:eastAsia="Arial Unicode MS" w:hAnsiTheme="majorHAnsi" w:cstheme="majorHAnsi"/>
                <w:color w:val="auto"/>
                <w:sz w:val="22"/>
                <w:szCs w:val="22"/>
                <w:lang w:eastAsia="en-US"/>
              </w:rPr>
            </w:pPr>
            <w:r w:rsidRPr="00D10B6C">
              <w:rPr>
                <w:rFonts w:asciiTheme="majorHAnsi" w:eastAsia="Arial Unicode MS" w:hAnsiTheme="majorHAnsi" w:cstheme="majorHAnsi"/>
                <w:color w:val="auto"/>
                <w:sz w:val="22"/>
                <w:szCs w:val="22"/>
                <w:lang w:eastAsia="en-US"/>
              </w:rPr>
              <w:t>Rapport d’analyse final</w:t>
            </w:r>
          </w:p>
        </w:tc>
        <w:tc>
          <w:tcPr>
            <w:tcW w:w="1935" w:type="dxa"/>
            <w:shd w:val="clear" w:color="auto" w:fill="auto"/>
            <w:vAlign w:val="center"/>
          </w:tcPr>
          <w:p w14:paraId="6954427E" w14:textId="51A353F4" w:rsidR="00D10B6C" w:rsidRPr="00D10B6C" w:rsidRDefault="006A6DC5" w:rsidP="00F53BA6">
            <w:pPr>
              <w:rPr>
                <w:rFonts w:asciiTheme="majorHAnsi" w:eastAsia="Arial Unicode MS" w:hAnsiTheme="majorHAnsi" w:cstheme="majorHAnsi"/>
                <w:sz w:val="22"/>
                <w:szCs w:val="22"/>
                <w:lang w:eastAsia="en-US"/>
              </w:rPr>
            </w:pPr>
            <w:r>
              <w:rPr>
                <w:rFonts w:asciiTheme="majorHAnsi" w:eastAsia="Arial Unicode MS" w:hAnsiTheme="majorHAnsi" w:cstheme="majorHAnsi"/>
                <w:sz w:val="22"/>
                <w:szCs w:val="22"/>
                <w:lang w:eastAsia="en-US"/>
              </w:rPr>
              <w:t>21</w:t>
            </w:r>
            <w:r w:rsidR="00D10B6C" w:rsidRPr="00D10B6C">
              <w:rPr>
                <w:rFonts w:asciiTheme="majorHAnsi" w:eastAsia="Arial Unicode MS" w:hAnsiTheme="majorHAnsi" w:cstheme="majorHAnsi"/>
                <w:sz w:val="22"/>
                <w:szCs w:val="22"/>
                <w:lang w:eastAsia="en-US"/>
              </w:rPr>
              <w:t>/11/2025</w:t>
            </w:r>
          </w:p>
        </w:tc>
      </w:tr>
      <w:tr w:rsidR="00D10B6C" w:rsidDel="00090DC7" w14:paraId="1E7B433A" w14:textId="77777777" w:rsidTr="00FA7761">
        <w:trPr>
          <w:trHeight w:val="219"/>
          <w:jc w:val="center"/>
        </w:trPr>
        <w:tc>
          <w:tcPr>
            <w:tcW w:w="6889" w:type="dxa"/>
            <w:shd w:val="clear" w:color="auto" w:fill="auto"/>
          </w:tcPr>
          <w:p w14:paraId="56D27A35" w14:textId="7F5EF23E" w:rsidR="00D10B6C" w:rsidRDefault="00D10B6C" w:rsidP="00FA7761">
            <w:pPr>
              <w:pStyle w:val="Default"/>
              <w:numPr>
                <w:ilvl w:val="0"/>
                <w:numId w:val="18"/>
              </w:numPr>
              <w:spacing w:after="132"/>
              <w:jc w:val="both"/>
              <w:rPr>
                <w:rFonts w:ascii="Calibri" w:eastAsia="Arial Unicode MS" w:hAnsi="Calibri" w:cs="Arial Unicode MS"/>
                <w:bCs/>
                <w:color w:val="auto"/>
                <w:sz w:val="22"/>
                <w:szCs w:val="22"/>
                <w:lang w:eastAsia="en-US"/>
              </w:rPr>
            </w:pPr>
            <w:r>
              <w:rPr>
                <w:rFonts w:ascii="Calibri" w:eastAsia="Arial Unicode MS" w:hAnsi="Calibri" w:cs="Arial Unicode MS"/>
                <w:bCs/>
                <w:color w:val="auto"/>
                <w:sz w:val="22"/>
                <w:szCs w:val="22"/>
                <w:lang w:eastAsia="en-US"/>
              </w:rPr>
              <w:t>Note de cadrage du programme pilote</w:t>
            </w:r>
          </w:p>
        </w:tc>
        <w:tc>
          <w:tcPr>
            <w:tcW w:w="1935" w:type="dxa"/>
            <w:shd w:val="clear" w:color="auto" w:fill="auto"/>
            <w:vAlign w:val="center"/>
          </w:tcPr>
          <w:p w14:paraId="63A72675" w14:textId="01D89CDF" w:rsidR="00D10B6C" w:rsidRPr="00D10B6C" w:rsidRDefault="006A6DC5" w:rsidP="00F53BA6">
            <w:pPr>
              <w:rPr>
                <w:rFonts w:asciiTheme="majorHAnsi" w:eastAsia="Arial Unicode MS" w:hAnsiTheme="majorHAnsi" w:cstheme="majorHAnsi"/>
                <w:sz w:val="22"/>
                <w:szCs w:val="22"/>
                <w:lang w:eastAsia="en-US"/>
              </w:rPr>
            </w:pPr>
            <w:r>
              <w:rPr>
                <w:rFonts w:asciiTheme="majorHAnsi" w:eastAsia="Arial Unicode MS" w:hAnsiTheme="majorHAnsi" w:cstheme="majorHAnsi"/>
                <w:sz w:val="22"/>
                <w:szCs w:val="22"/>
                <w:lang w:eastAsia="en-US"/>
              </w:rPr>
              <w:t>28</w:t>
            </w:r>
            <w:r w:rsidR="00D10B6C" w:rsidRPr="00D10B6C">
              <w:rPr>
                <w:rFonts w:asciiTheme="majorHAnsi" w:eastAsia="Arial Unicode MS" w:hAnsiTheme="majorHAnsi" w:cstheme="majorHAnsi"/>
                <w:sz w:val="22"/>
                <w:szCs w:val="22"/>
                <w:lang w:eastAsia="en-US"/>
              </w:rPr>
              <w:t>/11/2025</w:t>
            </w:r>
          </w:p>
        </w:tc>
      </w:tr>
      <w:tr w:rsidR="00D10B6C" w:rsidDel="00090DC7" w14:paraId="6400E07D" w14:textId="77777777" w:rsidTr="00FA7761">
        <w:trPr>
          <w:trHeight w:val="219"/>
          <w:jc w:val="center"/>
        </w:trPr>
        <w:tc>
          <w:tcPr>
            <w:tcW w:w="6889" w:type="dxa"/>
            <w:shd w:val="clear" w:color="auto" w:fill="auto"/>
          </w:tcPr>
          <w:p w14:paraId="79CED10C" w14:textId="36306D9E" w:rsidR="00D10B6C" w:rsidRPr="00332016" w:rsidRDefault="00332016" w:rsidP="00FA7761">
            <w:pPr>
              <w:pStyle w:val="Default"/>
              <w:numPr>
                <w:ilvl w:val="0"/>
                <w:numId w:val="18"/>
              </w:numPr>
              <w:spacing w:after="132"/>
              <w:jc w:val="both"/>
              <w:rPr>
                <w:rFonts w:asciiTheme="majorHAnsi" w:eastAsia="Arial Unicode MS" w:hAnsiTheme="majorHAnsi" w:cstheme="majorHAnsi"/>
                <w:bCs/>
                <w:color w:val="auto"/>
                <w:sz w:val="22"/>
                <w:szCs w:val="22"/>
                <w:lang w:eastAsia="en-US"/>
              </w:rPr>
            </w:pPr>
            <w:r>
              <w:rPr>
                <w:rFonts w:ascii="Calibri" w:eastAsia="Arial Unicode MS" w:hAnsi="Calibri" w:cs="Arial Unicode MS"/>
                <w:bCs/>
                <w:color w:val="auto"/>
                <w:sz w:val="22"/>
                <w:szCs w:val="22"/>
                <w:lang w:eastAsia="en-US"/>
              </w:rPr>
              <w:t>Guide méthodologique préliminaire du programme pilote</w:t>
            </w:r>
          </w:p>
        </w:tc>
        <w:tc>
          <w:tcPr>
            <w:tcW w:w="1935" w:type="dxa"/>
            <w:shd w:val="clear" w:color="auto" w:fill="auto"/>
            <w:vAlign w:val="center"/>
          </w:tcPr>
          <w:p w14:paraId="0E36B66B" w14:textId="32C0E0D4" w:rsidR="00D10B6C" w:rsidRPr="00332016" w:rsidRDefault="006A6DC5" w:rsidP="00F53BA6">
            <w:pPr>
              <w:rPr>
                <w:rFonts w:asciiTheme="majorHAnsi" w:eastAsia="Arial Unicode MS" w:hAnsiTheme="majorHAnsi" w:cstheme="majorHAnsi"/>
                <w:sz w:val="22"/>
                <w:szCs w:val="22"/>
                <w:lang w:eastAsia="en-US"/>
              </w:rPr>
            </w:pPr>
            <w:r>
              <w:rPr>
                <w:rFonts w:asciiTheme="majorHAnsi" w:eastAsia="Arial Unicode MS" w:hAnsiTheme="majorHAnsi" w:cstheme="majorHAnsi"/>
                <w:sz w:val="22"/>
                <w:szCs w:val="22"/>
                <w:lang w:eastAsia="en-US"/>
              </w:rPr>
              <w:t>15</w:t>
            </w:r>
            <w:r w:rsidR="00332016">
              <w:rPr>
                <w:rFonts w:asciiTheme="majorHAnsi" w:eastAsia="Arial Unicode MS" w:hAnsiTheme="majorHAnsi" w:cstheme="majorHAnsi"/>
                <w:sz w:val="22"/>
                <w:szCs w:val="22"/>
                <w:lang w:eastAsia="en-US"/>
              </w:rPr>
              <w:t>/</w:t>
            </w:r>
            <w:r>
              <w:rPr>
                <w:rFonts w:asciiTheme="majorHAnsi" w:eastAsia="Arial Unicode MS" w:hAnsiTheme="majorHAnsi" w:cstheme="majorHAnsi"/>
                <w:sz w:val="22"/>
                <w:szCs w:val="22"/>
                <w:lang w:eastAsia="en-US"/>
              </w:rPr>
              <w:t>01</w:t>
            </w:r>
            <w:r w:rsidR="00332016">
              <w:rPr>
                <w:rFonts w:asciiTheme="majorHAnsi" w:eastAsia="Arial Unicode MS" w:hAnsiTheme="majorHAnsi" w:cstheme="majorHAnsi"/>
                <w:sz w:val="22"/>
                <w:szCs w:val="22"/>
                <w:lang w:eastAsia="en-US"/>
              </w:rPr>
              <w:t>/202</w:t>
            </w:r>
            <w:r>
              <w:rPr>
                <w:rFonts w:asciiTheme="majorHAnsi" w:eastAsia="Arial Unicode MS" w:hAnsiTheme="majorHAnsi" w:cstheme="majorHAnsi"/>
                <w:sz w:val="22"/>
                <w:szCs w:val="22"/>
                <w:lang w:eastAsia="en-US"/>
              </w:rPr>
              <w:t>6</w:t>
            </w:r>
          </w:p>
        </w:tc>
      </w:tr>
      <w:tr w:rsidR="00240158" w:rsidDel="00090DC7" w14:paraId="6E0D218D" w14:textId="77777777" w:rsidTr="00FA7761">
        <w:trPr>
          <w:trHeight w:val="219"/>
          <w:jc w:val="center"/>
        </w:trPr>
        <w:tc>
          <w:tcPr>
            <w:tcW w:w="6889" w:type="dxa"/>
            <w:shd w:val="clear" w:color="auto" w:fill="auto"/>
          </w:tcPr>
          <w:p w14:paraId="14ECD834" w14:textId="253404CC" w:rsidR="00240158" w:rsidRPr="00D10B6C" w:rsidRDefault="00332016" w:rsidP="00240158">
            <w:pPr>
              <w:pStyle w:val="Default"/>
              <w:numPr>
                <w:ilvl w:val="0"/>
                <w:numId w:val="18"/>
              </w:numPr>
              <w:spacing w:after="132"/>
              <w:jc w:val="both"/>
              <w:rPr>
                <w:rFonts w:asciiTheme="majorHAnsi" w:eastAsia="Arial Unicode MS" w:hAnsiTheme="majorHAnsi" w:cstheme="majorHAnsi"/>
                <w:color w:val="auto"/>
                <w:sz w:val="22"/>
                <w:szCs w:val="22"/>
                <w:lang w:eastAsia="en-US"/>
              </w:rPr>
            </w:pPr>
            <w:r w:rsidRPr="00332016">
              <w:rPr>
                <w:rFonts w:asciiTheme="majorHAnsi" w:eastAsia="Arial Unicode MS" w:hAnsiTheme="majorHAnsi" w:cstheme="majorHAnsi"/>
                <w:bCs/>
                <w:color w:val="auto"/>
                <w:sz w:val="22"/>
                <w:szCs w:val="22"/>
                <w:lang w:eastAsia="en-US"/>
              </w:rPr>
              <w:t>Atelier</w:t>
            </w:r>
            <w:r>
              <w:rPr>
                <w:rFonts w:asciiTheme="majorHAnsi" w:eastAsia="Arial Unicode MS" w:hAnsiTheme="majorHAnsi" w:cstheme="majorHAnsi"/>
                <w:bCs/>
                <w:color w:val="auto"/>
                <w:sz w:val="22"/>
                <w:szCs w:val="22"/>
                <w:lang w:eastAsia="en-US"/>
              </w:rPr>
              <w:t>(</w:t>
            </w:r>
            <w:r w:rsidRPr="00332016">
              <w:rPr>
                <w:rFonts w:asciiTheme="majorHAnsi" w:eastAsia="Arial Unicode MS" w:hAnsiTheme="majorHAnsi" w:cstheme="majorHAnsi"/>
                <w:bCs/>
                <w:color w:val="auto"/>
                <w:sz w:val="22"/>
                <w:szCs w:val="22"/>
                <w:lang w:eastAsia="en-US"/>
              </w:rPr>
              <w:t>s</w:t>
            </w:r>
            <w:r>
              <w:rPr>
                <w:rFonts w:asciiTheme="majorHAnsi" w:eastAsia="Arial Unicode MS" w:hAnsiTheme="majorHAnsi" w:cstheme="majorHAnsi"/>
                <w:bCs/>
                <w:color w:val="auto"/>
                <w:sz w:val="22"/>
                <w:szCs w:val="22"/>
                <w:lang w:eastAsia="en-US"/>
              </w:rPr>
              <w:t>)</w:t>
            </w:r>
            <w:r w:rsidRPr="00332016">
              <w:rPr>
                <w:rFonts w:asciiTheme="majorHAnsi" w:eastAsia="Arial Unicode MS" w:hAnsiTheme="majorHAnsi" w:cstheme="majorHAnsi"/>
                <w:bCs/>
                <w:color w:val="auto"/>
                <w:sz w:val="22"/>
                <w:szCs w:val="22"/>
                <w:lang w:eastAsia="en-US"/>
              </w:rPr>
              <w:t xml:space="preserve"> de structuration du programme</w:t>
            </w:r>
            <w:r>
              <w:rPr>
                <w:rFonts w:asciiTheme="majorHAnsi" w:eastAsia="Arial Unicode MS" w:hAnsiTheme="majorHAnsi" w:cstheme="majorHAnsi"/>
                <w:bCs/>
                <w:color w:val="auto"/>
                <w:sz w:val="22"/>
                <w:szCs w:val="22"/>
                <w:lang w:eastAsia="en-US"/>
              </w:rPr>
              <w:t xml:space="preserve"> et rapport(s) associé</w:t>
            </w:r>
            <w:r w:rsidR="004E675E">
              <w:rPr>
                <w:rFonts w:asciiTheme="majorHAnsi" w:eastAsia="Arial Unicode MS" w:hAnsiTheme="majorHAnsi" w:cstheme="majorHAnsi"/>
                <w:bCs/>
                <w:color w:val="auto"/>
                <w:sz w:val="22"/>
                <w:szCs w:val="22"/>
                <w:lang w:eastAsia="en-US"/>
              </w:rPr>
              <w:t>(</w:t>
            </w:r>
            <w:r>
              <w:rPr>
                <w:rFonts w:asciiTheme="majorHAnsi" w:eastAsia="Arial Unicode MS" w:hAnsiTheme="majorHAnsi" w:cstheme="majorHAnsi"/>
                <w:bCs/>
                <w:color w:val="auto"/>
                <w:sz w:val="22"/>
                <w:szCs w:val="22"/>
                <w:lang w:eastAsia="en-US"/>
              </w:rPr>
              <w:t>s</w:t>
            </w:r>
            <w:r w:rsidR="004E675E">
              <w:rPr>
                <w:rFonts w:asciiTheme="majorHAnsi" w:eastAsia="Arial Unicode MS" w:hAnsiTheme="majorHAnsi" w:cstheme="majorHAnsi"/>
                <w:bCs/>
                <w:color w:val="auto"/>
                <w:sz w:val="22"/>
                <w:szCs w:val="22"/>
                <w:lang w:eastAsia="en-US"/>
              </w:rPr>
              <w:t>)</w:t>
            </w:r>
          </w:p>
        </w:tc>
        <w:tc>
          <w:tcPr>
            <w:tcW w:w="1935" w:type="dxa"/>
            <w:shd w:val="clear" w:color="auto" w:fill="auto"/>
            <w:vAlign w:val="center"/>
          </w:tcPr>
          <w:p w14:paraId="5D2EF8D6" w14:textId="4A4A0417" w:rsidR="00240158" w:rsidRPr="00D10B6C" w:rsidRDefault="00332016" w:rsidP="00240158">
            <w:pPr>
              <w:rPr>
                <w:rFonts w:asciiTheme="majorHAnsi" w:eastAsia="Arial Unicode MS" w:hAnsiTheme="majorHAnsi" w:cstheme="majorHAnsi"/>
                <w:sz w:val="22"/>
                <w:szCs w:val="22"/>
                <w:lang w:eastAsia="en-US"/>
              </w:rPr>
            </w:pPr>
            <w:r>
              <w:rPr>
                <w:rFonts w:asciiTheme="majorHAnsi" w:eastAsia="Arial Unicode MS" w:hAnsiTheme="majorHAnsi" w:cstheme="majorHAnsi"/>
                <w:sz w:val="22"/>
                <w:szCs w:val="22"/>
                <w:lang w:eastAsia="en-US"/>
              </w:rPr>
              <w:t>15/</w:t>
            </w:r>
            <w:r w:rsidR="006A6DC5">
              <w:rPr>
                <w:rFonts w:asciiTheme="majorHAnsi" w:eastAsia="Arial Unicode MS" w:hAnsiTheme="majorHAnsi" w:cstheme="majorHAnsi"/>
                <w:sz w:val="22"/>
                <w:szCs w:val="22"/>
                <w:lang w:eastAsia="en-US"/>
              </w:rPr>
              <w:t>01</w:t>
            </w:r>
            <w:r>
              <w:rPr>
                <w:rFonts w:asciiTheme="majorHAnsi" w:eastAsia="Arial Unicode MS" w:hAnsiTheme="majorHAnsi" w:cstheme="majorHAnsi"/>
                <w:sz w:val="22"/>
                <w:szCs w:val="22"/>
                <w:lang w:eastAsia="en-US"/>
              </w:rPr>
              <w:t>/202</w:t>
            </w:r>
            <w:r w:rsidR="006A6DC5">
              <w:rPr>
                <w:rFonts w:asciiTheme="majorHAnsi" w:eastAsia="Arial Unicode MS" w:hAnsiTheme="majorHAnsi" w:cstheme="majorHAnsi"/>
                <w:sz w:val="22"/>
                <w:szCs w:val="22"/>
                <w:lang w:eastAsia="en-US"/>
              </w:rPr>
              <w:t>6</w:t>
            </w:r>
            <w:r>
              <w:rPr>
                <w:rFonts w:asciiTheme="majorHAnsi" w:eastAsia="Arial Unicode MS" w:hAnsiTheme="majorHAnsi" w:cstheme="majorHAnsi"/>
                <w:sz w:val="22"/>
                <w:szCs w:val="22"/>
                <w:lang w:eastAsia="en-US"/>
              </w:rPr>
              <w:t xml:space="preserve"> - </w:t>
            </w:r>
            <w:r w:rsidR="006A6DC5">
              <w:rPr>
                <w:rFonts w:asciiTheme="majorHAnsi" w:eastAsia="Arial Unicode MS" w:hAnsiTheme="majorHAnsi" w:cstheme="majorHAnsi"/>
                <w:sz w:val="22"/>
                <w:szCs w:val="22"/>
                <w:lang w:eastAsia="en-US"/>
              </w:rPr>
              <w:t>15</w:t>
            </w:r>
            <w:r w:rsidR="00240158" w:rsidRPr="00D10B6C">
              <w:rPr>
                <w:rFonts w:asciiTheme="majorHAnsi" w:eastAsia="Arial Unicode MS" w:hAnsiTheme="majorHAnsi" w:cstheme="majorHAnsi"/>
                <w:sz w:val="22"/>
                <w:szCs w:val="22"/>
                <w:lang w:eastAsia="en-US"/>
              </w:rPr>
              <w:t>/</w:t>
            </w:r>
            <w:r>
              <w:rPr>
                <w:rFonts w:asciiTheme="majorHAnsi" w:eastAsia="Arial Unicode MS" w:hAnsiTheme="majorHAnsi" w:cstheme="majorHAnsi"/>
                <w:sz w:val="22"/>
                <w:szCs w:val="22"/>
                <w:lang w:eastAsia="en-US"/>
              </w:rPr>
              <w:t>0</w:t>
            </w:r>
            <w:r w:rsidR="006A6DC5">
              <w:rPr>
                <w:rFonts w:asciiTheme="majorHAnsi" w:eastAsia="Arial Unicode MS" w:hAnsiTheme="majorHAnsi" w:cstheme="majorHAnsi"/>
                <w:sz w:val="22"/>
                <w:szCs w:val="22"/>
                <w:lang w:eastAsia="en-US"/>
              </w:rPr>
              <w:t>2</w:t>
            </w:r>
            <w:r w:rsidR="00240158" w:rsidRPr="00D10B6C">
              <w:rPr>
                <w:rFonts w:asciiTheme="majorHAnsi" w:eastAsia="Arial Unicode MS" w:hAnsiTheme="majorHAnsi" w:cstheme="majorHAnsi"/>
                <w:sz w:val="22"/>
                <w:szCs w:val="22"/>
                <w:lang w:eastAsia="en-US"/>
              </w:rPr>
              <w:t>/202</w:t>
            </w:r>
            <w:r>
              <w:rPr>
                <w:rFonts w:asciiTheme="majorHAnsi" w:eastAsia="Arial Unicode MS" w:hAnsiTheme="majorHAnsi" w:cstheme="majorHAnsi"/>
                <w:sz w:val="22"/>
                <w:szCs w:val="22"/>
                <w:lang w:eastAsia="en-US"/>
              </w:rPr>
              <w:t>6</w:t>
            </w:r>
          </w:p>
        </w:tc>
      </w:tr>
      <w:tr w:rsidR="00240158" w:rsidDel="00090DC7" w14:paraId="3E4CC65C" w14:textId="77777777" w:rsidTr="00FA7761">
        <w:trPr>
          <w:trHeight w:val="219"/>
          <w:jc w:val="center"/>
        </w:trPr>
        <w:tc>
          <w:tcPr>
            <w:tcW w:w="6889" w:type="dxa"/>
            <w:shd w:val="clear" w:color="auto" w:fill="auto"/>
          </w:tcPr>
          <w:p w14:paraId="08CD0913" w14:textId="1BC72A94" w:rsidR="00240158" w:rsidRDefault="00332016" w:rsidP="00240158">
            <w:pPr>
              <w:pStyle w:val="Default"/>
              <w:numPr>
                <w:ilvl w:val="0"/>
                <w:numId w:val="18"/>
              </w:numPr>
              <w:spacing w:after="132"/>
              <w:jc w:val="both"/>
              <w:rPr>
                <w:rFonts w:ascii="Calibri" w:eastAsia="Arial Unicode MS" w:hAnsi="Calibri" w:cs="Arial Unicode MS"/>
                <w:bCs/>
                <w:color w:val="auto"/>
                <w:sz w:val="22"/>
                <w:szCs w:val="22"/>
                <w:lang w:eastAsia="en-US"/>
              </w:rPr>
            </w:pPr>
            <w:r>
              <w:rPr>
                <w:rFonts w:asciiTheme="majorHAnsi" w:eastAsia="Arial Unicode MS" w:hAnsiTheme="majorHAnsi" w:cstheme="majorHAnsi"/>
                <w:color w:val="auto"/>
                <w:sz w:val="22"/>
                <w:szCs w:val="22"/>
                <w:lang w:eastAsia="en-US"/>
              </w:rPr>
              <w:t>Guide méthodologique final et o</w:t>
            </w:r>
            <w:r w:rsidR="00240158" w:rsidRPr="00D10B6C">
              <w:rPr>
                <w:rFonts w:asciiTheme="majorHAnsi" w:eastAsia="Arial Unicode MS" w:hAnsiTheme="majorHAnsi" w:cstheme="majorHAnsi"/>
                <w:color w:val="auto"/>
                <w:sz w:val="22"/>
                <w:szCs w:val="22"/>
                <w:lang w:eastAsia="en-US"/>
              </w:rPr>
              <w:t xml:space="preserve">utils opérationnels </w:t>
            </w:r>
          </w:p>
        </w:tc>
        <w:tc>
          <w:tcPr>
            <w:tcW w:w="1935" w:type="dxa"/>
            <w:shd w:val="clear" w:color="auto" w:fill="auto"/>
            <w:vAlign w:val="center"/>
          </w:tcPr>
          <w:p w14:paraId="3CE1D247" w14:textId="148BB868" w:rsidR="00240158" w:rsidRPr="00D10B6C" w:rsidRDefault="006A6DC5" w:rsidP="00240158">
            <w:pPr>
              <w:rPr>
                <w:rFonts w:asciiTheme="majorHAnsi" w:eastAsia="Arial Unicode MS" w:hAnsiTheme="majorHAnsi" w:cstheme="majorHAnsi"/>
                <w:lang w:eastAsia="en-US"/>
              </w:rPr>
            </w:pPr>
            <w:r>
              <w:rPr>
                <w:rFonts w:asciiTheme="majorHAnsi" w:eastAsia="Arial Unicode MS" w:hAnsiTheme="majorHAnsi" w:cstheme="majorHAnsi"/>
                <w:sz w:val="22"/>
                <w:szCs w:val="22"/>
                <w:lang w:eastAsia="en-US"/>
              </w:rPr>
              <w:t>28</w:t>
            </w:r>
            <w:r w:rsidR="00240158" w:rsidRPr="00D10B6C">
              <w:rPr>
                <w:rFonts w:asciiTheme="majorHAnsi" w:eastAsia="Arial Unicode MS" w:hAnsiTheme="majorHAnsi" w:cstheme="majorHAnsi"/>
                <w:sz w:val="22"/>
                <w:szCs w:val="22"/>
                <w:lang w:eastAsia="en-US"/>
              </w:rPr>
              <w:t>/0</w:t>
            </w:r>
            <w:r w:rsidR="00332016">
              <w:rPr>
                <w:rFonts w:asciiTheme="majorHAnsi" w:eastAsia="Arial Unicode MS" w:hAnsiTheme="majorHAnsi" w:cstheme="majorHAnsi"/>
                <w:sz w:val="22"/>
                <w:szCs w:val="22"/>
                <w:lang w:eastAsia="en-US"/>
              </w:rPr>
              <w:t>2</w:t>
            </w:r>
            <w:r w:rsidR="00240158" w:rsidRPr="00D10B6C">
              <w:rPr>
                <w:rFonts w:asciiTheme="majorHAnsi" w:eastAsia="Arial Unicode MS" w:hAnsiTheme="majorHAnsi" w:cstheme="majorHAnsi"/>
                <w:sz w:val="22"/>
                <w:szCs w:val="22"/>
                <w:lang w:eastAsia="en-US"/>
              </w:rPr>
              <w:t>/202</w:t>
            </w:r>
            <w:r w:rsidR="00240158">
              <w:rPr>
                <w:rFonts w:asciiTheme="majorHAnsi" w:eastAsia="Arial Unicode MS" w:hAnsiTheme="majorHAnsi" w:cstheme="majorHAnsi"/>
                <w:sz w:val="22"/>
                <w:szCs w:val="22"/>
                <w:lang w:eastAsia="en-US"/>
              </w:rPr>
              <w:t>6</w:t>
            </w:r>
          </w:p>
        </w:tc>
      </w:tr>
      <w:tr w:rsidR="00240158" w:rsidDel="00090DC7" w14:paraId="20509829" w14:textId="77777777" w:rsidTr="00FA7761">
        <w:trPr>
          <w:trHeight w:val="219"/>
          <w:jc w:val="center"/>
        </w:trPr>
        <w:tc>
          <w:tcPr>
            <w:tcW w:w="6889" w:type="dxa"/>
            <w:shd w:val="clear" w:color="auto" w:fill="auto"/>
          </w:tcPr>
          <w:p w14:paraId="6FE5F5EE" w14:textId="205ADFF0" w:rsidR="00240158" w:rsidRDefault="00240158" w:rsidP="00240158">
            <w:pPr>
              <w:pStyle w:val="Default"/>
              <w:numPr>
                <w:ilvl w:val="0"/>
                <w:numId w:val="18"/>
              </w:numPr>
              <w:spacing w:after="132"/>
              <w:jc w:val="both"/>
              <w:rPr>
                <w:rFonts w:ascii="Calibri" w:eastAsia="Arial Unicode MS" w:hAnsi="Calibri" w:cs="Arial Unicode MS"/>
                <w:bCs/>
                <w:color w:val="auto"/>
                <w:sz w:val="22"/>
                <w:szCs w:val="22"/>
                <w:lang w:eastAsia="en-US"/>
              </w:rPr>
            </w:pPr>
            <w:r>
              <w:rPr>
                <w:rFonts w:ascii="Calibri" w:eastAsia="Arial Unicode MS" w:hAnsi="Calibri" w:cs="Arial Unicode MS"/>
                <w:bCs/>
                <w:color w:val="auto"/>
                <w:sz w:val="22"/>
                <w:szCs w:val="22"/>
                <w:lang w:eastAsia="en-US"/>
              </w:rPr>
              <w:t>Feuille de route</w:t>
            </w:r>
          </w:p>
        </w:tc>
        <w:tc>
          <w:tcPr>
            <w:tcW w:w="1935" w:type="dxa"/>
            <w:shd w:val="clear" w:color="auto" w:fill="auto"/>
            <w:vAlign w:val="center"/>
          </w:tcPr>
          <w:p w14:paraId="6418A3CB" w14:textId="37265981" w:rsidR="00240158" w:rsidRPr="001C440E" w:rsidRDefault="006A6DC5" w:rsidP="00240158">
            <w:pPr>
              <w:rPr>
                <w:rFonts w:asciiTheme="majorHAnsi" w:eastAsia="Arial Unicode MS" w:hAnsiTheme="majorHAnsi" w:cstheme="majorHAnsi"/>
                <w:lang w:eastAsia="en-US"/>
              </w:rPr>
            </w:pPr>
            <w:r>
              <w:rPr>
                <w:rFonts w:asciiTheme="majorHAnsi" w:eastAsia="Arial Unicode MS" w:hAnsiTheme="majorHAnsi" w:cstheme="majorHAnsi"/>
                <w:sz w:val="22"/>
                <w:szCs w:val="22"/>
                <w:lang w:eastAsia="en-US"/>
              </w:rPr>
              <w:t>15</w:t>
            </w:r>
            <w:r w:rsidR="00240158" w:rsidRPr="001C440E">
              <w:rPr>
                <w:rFonts w:asciiTheme="majorHAnsi" w:eastAsia="Arial Unicode MS" w:hAnsiTheme="majorHAnsi" w:cstheme="majorHAnsi"/>
                <w:sz w:val="22"/>
                <w:szCs w:val="22"/>
                <w:lang w:eastAsia="en-US"/>
              </w:rPr>
              <w:t>/0</w:t>
            </w:r>
            <w:r>
              <w:rPr>
                <w:rFonts w:asciiTheme="majorHAnsi" w:eastAsia="Arial Unicode MS" w:hAnsiTheme="majorHAnsi" w:cstheme="majorHAnsi"/>
                <w:sz w:val="22"/>
                <w:szCs w:val="22"/>
                <w:lang w:eastAsia="en-US"/>
              </w:rPr>
              <w:t>3</w:t>
            </w:r>
            <w:r w:rsidR="00240158" w:rsidRPr="001C440E">
              <w:rPr>
                <w:rFonts w:asciiTheme="majorHAnsi" w:eastAsia="Arial Unicode MS" w:hAnsiTheme="majorHAnsi" w:cstheme="majorHAnsi"/>
                <w:sz w:val="22"/>
                <w:szCs w:val="22"/>
                <w:lang w:eastAsia="en-US"/>
              </w:rPr>
              <w:t>/202</w:t>
            </w:r>
            <w:r w:rsidR="00240158">
              <w:rPr>
                <w:rFonts w:asciiTheme="majorHAnsi" w:eastAsia="Arial Unicode MS" w:hAnsiTheme="majorHAnsi" w:cstheme="majorHAnsi"/>
                <w:sz w:val="22"/>
                <w:szCs w:val="22"/>
                <w:lang w:eastAsia="en-US"/>
              </w:rPr>
              <w:t>6</w:t>
            </w:r>
          </w:p>
        </w:tc>
      </w:tr>
      <w:bookmarkEnd w:id="1"/>
    </w:tbl>
    <w:p w14:paraId="3B8466BA" w14:textId="77777777" w:rsidR="00FA7761" w:rsidRDefault="00FA7761"/>
    <w:p w14:paraId="017CB896" w14:textId="77D8852F" w:rsidR="00143DED" w:rsidRDefault="00FA7761">
      <w:r>
        <w:t xml:space="preserve">Ce calendrier pourra </w:t>
      </w:r>
      <w:r w:rsidR="00FC512C">
        <w:t xml:space="preserve">être </w:t>
      </w:r>
      <w:r>
        <w:t xml:space="preserve">revu et adapté par Expertise France à la suite du recrutement du prestataire. </w:t>
      </w:r>
    </w:p>
    <w:p w14:paraId="2137BF87" w14:textId="77777777" w:rsidR="00C20F92" w:rsidRDefault="00B07E38">
      <w:pPr>
        <w:shd w:val="clear" w:color="auto" w:fill="D9E2F3"/>
        <w:rPr>
          <w:b/>
          <w:sz w:val="32"/>
          <w:szCs w:val="32"/>
        </w:rPr>
      </w:pPr>
      <w:r>
        <w:rPr>
          <w:b/>
          <w:sz w:val="32"/>
          <w:szCs w:val="32"/>
        </w:rPr>
        <w:t xml:space="preserve">Profil du prestataire recherché </w:t>
      </w:r>
    </w:p>
    <w:p w14:paraId="03CC69A0" w14:textId="77777777" w:rsidR="00143DED" w:rsidRDefault="00143DED" w:rsidP="00143DED">
      <w:pPr>
        <w:pBdr>
          <w:top w:val="nil"/>
          <w:left w:val="nil"/>
          <w:bottom w:val="nil"/>
          <w:right w:val="nil"/>
          <w:between w:val="nil"/>
        </w:pBdr>
        <w:spacing w:before="120" w:after="0" w:line="240" w:lineRule="auto"/>
      </w:pPr>
      <w:r w:rsidRPr="00143DED">
        <w:t>Le prestataire, ou le groupement de prestataires, devra justifier d’une expertise confirmée dans la conception, la structuration et le déploiement de dispositifs d’innovation publique, à l’intersection de trois domaines clés :</w:t>
      </w:r>
    </w:p>
    <w:p w14:paraId="6E972C9F" w14:textId="77777777" w:rsidR="00143DED" w:rsidRPr="00143DED" w:rsidRDefault="00143DED" w:rsidP="00143DED">
      <w:pPr>
        <w:pStyle w:val="Paragraphedeliste"/>
        <w:numPr>
          <w:ilvl w:val="0"/>
          <w:numId w:val="13"/>
        </w:numPr>
        <w:pBdr>
          <w:top w:val="nil"/>
          <w:left w:val="nil"/>
          <w:bottom w:val="nil"/>
          <w:right w:val="nil"/>
          <w:between w:val="nil"/>
        </w:pBdr>
        <w:spacing w:before="120" w:after="0" w:line="240" w:lineRule="auto"/>
        <w:rPr>
          <w:b/>
          <w:sz w:val="24"/>
          <w:szCs w:val="24"/>
        </w:rPr>
      </w:pPr>
      <w:r w:rsidRPr="00143DED">
        <w:rPr>
          <w:b/>
          <w:bCs/>
        </w:rPr>
        <w:t>Innovation publique et numérique</w:t>
      </w:r>
      <w:r w:rsidRPr="00143DED">
        <w:t xml:space="preserve"> : bonne connaissance des enjeux de modernisation de l’administration à travers des approches centrées utilisateur, des méthodes agiles, et des outils numériques adaptés aux réalités du service public ;</w:t>
      </w:r>
    </w:p>
    <w:p w14:paraId="6084BB5A" w14:textId="77777777" w:rsidR="00143DED" w:rsidRPr="00143DED" w:rsidRDefault="00143DED" w:rsidP="00143DED">
      <w:pPr>
        <w:pStyle w:val="Paragraphedeliste"/>
        <w:numPr>
          <w:ilvl w:val="0"/>
          <w:numId w:val="13"/>
        </w:numPr>
        <w:pBdr>
          <w:top w:val="nil"/>
          <w:left w:val="nil"/>
          <w:bottom w:val="nil"/>
          <w:right w:val="nil"/>
          <w:between w:val="nil"/>
        </w:pBdr>
        <w:spacing w:before="120" w:after="0" w:line="240" w:lineRule="auto"/>
        <w:rPr>
          <w:b/>
          <w:sz w:val="24"/>
          <w:szCs w:val="24"/>
        </w:rPr>
      </w:pPr>
      <w:r w:rsidRPr="00143DED">
        <w:rPr>
          <w:b/>
          <w:bCs/>
        </w:rPr>
        <w:t>Design de politiques d’innovation et d’accompagnement entrepreneurial</w:t>
      </w:r>
      <w:r w:rsidRPr="00143DED">
        <w:t xml:space="preserve"> : capacité à concevoir des parcours d’identification, de sélection et d’accompagnement de porteurs de projets (internes ou externes à l’administration) capables de répondre à des problématiques concrètes identifiées par les institutions publiques ;</w:t>
      </w:r>
    </w:p>
    <w:p w14:paraId="25F68209" w14:textId="1729923D" w:rsidR="00143DED" w:rsidRPr="00143DED" w:rsidRDefault="00143DED" w:rsidP="00143DED">
      <w:pPr>
        <w:pStyle w:val="Paragraphedeliste"/>
        <w:numPr>
          <w:ilvl w:val="0"/>
          <w:numId w:val="13"/>
        </w:numPr>
        <w:pBdr>
          <w:top w:val="nil"/>
          <w:left w:val="nil"/>
          <w:bottom w:val="nil"/>
          <w:right w:val="nil"/>
          <w:between w:val="nil"/>
        </w:pBdr>
        <w:spacing w:before="120" w:after="0" w:line="240" w:lineRule="auto"/>
        <w:rPr>
          <w:b/>
          <w:sz w:val="24"/>
          <w:szCs w:val="24"/>
        </w:rPr>
      </w:pPr>
      <w:r w:rsidRPr="00143DED">
        <w:rPr>
          <w:b/>
          <w:bCs/>
        </w:rPr>
        <w:t>Appui stratégique aux institutions publiques</w:t>
      </w:r>
      <w:r w:rsidRPr="00143DED">
        <w:t xml:space="preserve"> : expérience dans la production de cadres méthodologiques, de feuilles de route, et dans l’animation de dynamiques de collaboration entre acteurs publics et innovateurs (startups, développeurs, experts sectoriels, etc.).</w:t>
      </w:r>
    </w:p>
    <w:p w14:paraId="1743EF18" w14:textId="0E81D5DF" w:rsidR="00C20F92" w:rsidRPr="00143DED" w:rsidRDefault="00B07E38" w:rsidP="00143DED">
      <w:pPr>
        <w:pBdr>
          <w:top w:val="nil"/>
          <w:left w:val="nil"/>
          <w:bottom w:val="nil"/>
          <w:right w:val="nil"/>
          <w:between w:val="nil"/>
        </w:pBdr>
        <w:spacing w:before="120" w:after="0" w:line="240" w:lineRule="auto"/>
        <w:rPr>
          <w:b/>
          <w:sz w:val="24"/>
          <w:szCs w:val="24"/>
        </w:rPr>
      </w:pPr>
      <w:r w:rsidRPr="00143DED">
        <w:rPr>
          <w:b/>
          <w:color w:val="FFC000"/>
          <w:sz w:val="24"/>
          <w:szCs w:val="24"/>
        </w:rPr>
        <w:t>Compétences attendues :</w:t>
      </w:r>
    </w:p>
    <w:p w14:paraId="24383527" w14:textId="77777777" w:rsidR="00C20F92" w:rsidRDefault="00B07E38">
      <w:pPr>
        <w:pStyle w:val="Titre4"/>
        <w:spacing w:before="240" w:after="40"/>
        <w:ind w:left="720" w:hanging="360"/>
        <w:rPr>
          <w:rFonts w:ascii="Calibri" w:eastAsia="Calibri" w:hAnsi="Calibri" w:cs="Calibri"/>
        </w:rPr>
      </w:pPr>
      <w:r>
        <w:rPr>
          <w:rFonts w:ascii="Calibri" w:eastAsia="Calibri" w:hAnsi="Calibri" w:cs="Calibri"/>
        </w:rPr>
        <w:t>1. Expertise en innovation publique et Startups d’État</w:t>
      </w:r>
    </w:p>
    <w:p w14:paraId="1B5BCCF2" w14:textId="2A16CDAE" w:rsidR="00C20F92" w:rsidRDefault="00B07E38">
      <w:pPr>
        <w:pStyle w:val="Titre4"/>
        <w:numPr>
          <w:ilvl w:val="0"/>
          <w:numId w:val="8"/>
        </w:numPr>
        <w:spacing w:before="240" w:after="0"/>
        <w:jc w:val="both"/>
        <w:rPr>
          <w:rFonts w:ascii="Calibri" w:eastAsia="Calibri" w:hAnsi="Calibri" w:cs="Calibri"/>
          <w:b w:val="0"/>
          <w:sz w:val="22"/>
          <w:szCs w:val="22"/>
        </w:rPr>
      </w:pPr>
      <w:r>
        <w:rPr>
          <w:rFonts w:ascii="Calibri" w:eastAsia="Calibri" w:hAnsi="Calibri" w:cs="Calibri"/>
          <w:b w:val="0"/>
          <w:sz w:val="22"/>
          <w:szCs w:val="22"/>
        </w:rPr>
        <w:t xml:space="preserve">Connaissance approfondie des démarches de Startup d’État et </w:t>
      </w:r>
      <w:r w:rsidR="008449F3">
        <w:rPr>
          <w:rFonts w:ascii="Calibri" w:eastAsia="Calibri" w:hAnsi="Calibri" w:cs="Calibri"/>
          <w:b w:val="0"/>
          <w:sz w:val="22"/>
          <w:szCs w:val="22"/>
        </w:rPr>
        <w:t xml:space="preserve">d’entrepreneuriat </w:t>
      </w:r>
      <w:r>
        <w:rPr>
          <w:rFonts w:ascii="Calibri" w:eastAsia="Calibri" w:hAnsi="Calibri" w:cs="Calibri"/>
          <w:b w:val="0"/>
          <w:sz w:val="22"/>
          <w:szCs w:val="22"/>
        </w:rPr>
        <w:t xml:space="preserve">public </w:t>
      </w:r>
    </w:p>
    <w:p w14:paraId="5E525104" w14:textId="62D216EF" w:rsidR="007872ED" w:rsidRPr="006A6DC5" w:rsidRDefault="00B07E38" w:rsidP="006A6DC5">
      <w:pPr>
        <w:pStyle w:val="Titre4"/>
        <w:numPr>
          <w:ilvl w:val="0"/>
          <w:numId w:val="8"/>
        </w:numPr>
        <w:spacing w:before="240" w:after="0"/>
        <w:jc w:val="both"/>
        <w:rPr>
          <w:rFonts w:ascii="Calibri" w:eastAsia="Calibri" w:hAnsi="Calibri" w:cs="Calibri"/>
          <w:b w:val="0"/>
          <w:sz w:val="22"/>
          <w:szCs w:val="22"/>
        </w:rPr>
      </w:pPr>
      <w:r>
        <w:rPr>
          <w:rFonts w:ascii="Calibri" w:eastAsia="Calibri" w:hAnsi="Calibri" w:cs="Calibri"/>
          <w:b w:val="0"/>
          <w:sz w:val="22"/>
          <w:szCs w:val="22"/>
        </w:rPr>
        <w:t>Maîtrise des méthodes agiles, centrées utilisateur et d’expérimentation rapide dans le secteur public</w:t>
      </w:r>
      <w:r w:rsidR="007872ED">
        <w:rPr>
          <w:rFonts w:ascii="Calibri" w:eastAsia="Calibri" w:hAnsi="Calibri" w:cs="Calibri"/>
          <w:b w:val="0"/>
          <w:sz w:val="22"/>
          <w:szCs w:val="22"/>
        </w:rPr>
        <w:t xml:space="preserve"> </w:t>
      </w:r>
    </w:p>
    <w:p w14:paraId="3832B2FD" w14:textId="6953AD26" w:rsidR="00C20F92" w:rsidRDefault="00B07E38" w:rsidP="006A6DC5">
      <w:pPr>
        <w:pStyle w:val="Titre4"/>
        <w:numPr>
          <w:ilvl w:val="0"/>
          <w:numId w:val="8"/>
        </w:numPr>
        <w:spacing w:before="240" w:after="0"/>
        <w:jc w:val="both"/>
        <w:rPr>
          <w:rFonts w:ascii="Calibri" w:eastAsia="Calibri" w:hAnsi="Calibri" w:cs="Calibri"/>
          <w:b w:val="0"/>
          <w:sz w:val="22"/>
          <w:szCs w:val="22"/>
        </w:rPr>
      </w:pPr>
      <w:r>
        <w:rPr>
          <w:rFonts w:ascii="Calibri" w:eastAsia="Calibri" w:hAnsi="Calibri" w:cs="Calibri"/>
          <w:b w:val="0"/>
          <w:sz w:val="22"/>
          <w:szCs w:val="22"/>
        </w:rPr>
        <w:lastRenderedPageBreak/>
        <w:t>Capacité à proposer un modèle adapté au contexte administratif et politique sénégalais</w:t>
      </w:r>
      <w:r w:rsidR="00047A22">
        <w:rPr>
          <w:rFonts w:ascii="Calibri" w:eastAsia="Calibri" w:hAnsi="Calibri" w:cs="Calibri"/>
          <w:b w:val="0"/>
          <w:sz w:val="22"/>
          <w:szCs w:val="22"/>
        </w:rPr>
        <w:t xml:space="preserve"> - </w:t>
      </w:r>
      <w:r w:rsidR="00047A22" w:rsidRPr="00047A22">
        <w:rPr>
          <w:rFonts w:ascii="Calibri" w:eastAsia="Calibri" w:hAnsi="Calibri" w:cs="Calibri"/>
          <w:b w:val="0"/>
          <w:sz w:val="22"/>
          <w:szCs w:val="22"/>
        </w:rPr>
        <w:t>l’équipe</w:t>
      </w:r>
      <w:r w:rsidR="00047A22">
        <w:rPr>
          <w:rFonts w:ascii="Calibri" w:eastAsia="Calibri" w:hAnsi="Calibri" w:cs="Calibri"/>
          <w:b w:val="0"/>
          <w:sz w:val="22"/>
          <w:szCs w:val="22"/>
        </w:rPr>
        <w:t xml:space="preserve"> doit</w:t>
      </w:r>
      <w:r w:rsidR="00047A22" w:rsidRPr="00047A22">
        <w:rPr>
          <w:rFonts w:ascii="Calibri" w:eastAsia="Calibri" w:hAnsi="Calibri" w:cs="Calibri"/>
          <w:b w:val="0"/>
          <w:sz w:val="22"/>
          <w:szCs w:val="22"/>
        </w:rPr>
        <w:t xml:space="preserve"> maîtrise</w:t>
      </w:r>
      <w:r w:rsidR="00047A22">
        <w:rPr>
          <w:rFonts w:ascii="Calibri" w:eastAsia="Calibri" w:hAnsi="Calibri" w:cs="Calibri"/>
          <w:b w:val="0"/>
          <w:sz w:val="22"/>
          <w:szCs w:val="22"/>
        </w:rPr>
        <w:t>r</w:t>
      </w:r>
      <w:r w:rsidR="00047A22" w:rsidRPr="00047A22">
        <w:rPr>
          <w:rFonts w:ascii="Calibri" w:eastAsia="Calibri" w:hAnsi="Calibri" w:cs="Calibri"/>
          <w:b w:val="0"/>
          <w:sz w:val="22"/>
          <w:szCs w:val="22"/>
        </w:rPr>
        <w:t xml:space="preserve"> </w:t>
      </w:r>
      <w:r w:rsidR="00047A22">
        <w:rPr>
          <w:rFonts w:ascii="Calibri" w:eastAsia="Calibri" w:hAnsi="Calibri" w:cs="Calibri"/>
          <w:b w:val="0"/>
          <w:sz w:val="22"/>
          <w:szCs w:val="22"/>
        </w:rPr>
        <w:t xml:space="preserve">les </w:t>
      </w:r>
      <w:r w:rsidR="007872ED">
        <w:rPr>
          <w:rFonts w:ascii="Calibri" w:eastAsia="Calibri" w:hAnsi="Calibri" w:cs="Calibri"/>
          <w:b w:val="0"/>
          <w:sz w:val="22"/>
          <w:szCs w:val="22"/>
        </w:rPr>
        <w:t>procédures</w:t>
      </w:r>
      <w:r w:rsidR="00047A22" w:rsidRPr="00047A22">
        <w:rPr>
          <w:rFonts w:ascii="Calibri" w:eastAsia="Calibri" w:hAnsi="Calibri" w:cs="Calibri"/>
          <w:b w:val="0"/>
          <w:sz w:val="22"/>
          <w:szCs w:val="22"/>
        </w:rPr>
        <w:t xml:space="preserve"> administrati</w:t>
      </w:r>
      <w:r w:rsidR="007872ED">
        <w:rPr>
          <w:rFonts w:ascii="Calibri" w:eastAsia="Calibri" w:hAnsi="Calibri" w:cs="Calibri"/>
          <w:b w:val="0"/>
          <w:sz w:val="22"/>
          <w:szCs w:val="22"/>
        </w:rPr>
        <w:t>ve</w:t>
      </w:r>
      <w:r w:rsidR="00047A22" w:rsidRPr="00047A22">
        <w:rPr>
          <w:rFonts w:ascii="Calibri" w:eastAsia="Calibri" w:hAnsi="Calibri" w:cs="Calibri"/>
          <w:b w:val="0"/>
          <w:sz w:val="22"/>
          <w:szCs w:val="22"/>
        </w:rPr>
        <w:t>s</w:t>
      </w:r>
      <w:r w:rsidR="00047A22">
        <w:rPr>
          <w:rFonts w:ascii="Calibri" w:eastAsia="Calibri" w:hAnsi="Calibri" w:cs="Calibri"/>
          <w:b w:val="0"/>
          <w:sz w:val="22"/>
          <w:szCs w:val="22"/>
        </w:rPr>
        <w:t xml:space="preserve"> et</w:t>
      </w:r>
      <w:r w:rsidR="00047A22" w:rsidRPr="00047A22">
        <w:rPr>
          <w:rFonts w:ascii="Calibri" w:eastAsia="Calibri" w:hAnsi="Calibri" w:cs="Calibri"/>
          <w:b w:val="0"/>
          <w:sz w:val="22"/>
          <w:szCs w:val="22"/>
        </w:rPr>
        <w:t xml:space="preserve"> les logiques institutionnelles sénégalaises, </w:t>
      </w:r>
      <w:r w:rsidR="00047A22">
        <w:rPr>
          <w:rFonts w:ascii="Calibri" w:eastAsia="Calibri" w:hAnsi="Calibri" w:cs="Calibri"/>
          <w:b w:val="0"/>
          <w:sz w:val="22"/>
          <w:szCs w:val="22"/>
        </w:rPr>
        <w:t>ainsi que</w:t>
      </w:r>
      <w:r w:rsidR="00047A22" w:rsidRPr="00047A22">
        <w:rPr>
          <w:rFonts w:ascii="Calibri" w:eastAsia="Calibri" w:hAnsi="Calibri" w:cs="Calibri"/>
          <w:b w:val="0"/>
          <w:sz w:val="22"/>
          <w:szCs w:val="22"/>
        </w:rPr>
        <w:t xml:space="preserve"> les </w:t>
      </w:r>
      <w:r w:rsidR="007872ED">
        <w:rPr>
          <w:rFonts w:ascii="Calibri" w:eastAsia="Calibri" w:hAnsi="Calibri" w:cs="Calibri"/>
          <w:b w:val="0"/>
          <w:sz w:val="22"/>
          <w:szCs w:val="22"/>
        </w:rPr>
        <w:t>stratégies</w:t>
      </w:r>
      <w:r w:rsidR="00047A22" w:rsidRPr="00047A22">
        <w:rPr>
          <w:rFonts w:ascii="Calibri" w:eastAsia="Calibri" w:hAnsi="Calibri" w:cs="Calibri"/>
          <w:b w:val="0"/>
          <w:sz w:val="22"/>
          <w:szCs w:val="22"/>
        </w:rPr>
        <w:t xml:space="preserve"> </w:t>
      </w:r>
      <w:r w:rsidR="007872ED">
        <w:rPr>
          <w:rFonts w:ascii="Calibri" w:eastAsia="Calibri" w:hAnsi="Calibri" w:cs="Calibri"/>
          <w:b w:val="0"/>
          <w:sz w:val="22"/>
          <w:szCs w:val="22"/>
        </w:rPr>
        <w:t xml:space="preserve">nationales </w:t>
      </w:r>
      <w:r w:rsidR="00047A22" w:rsidRPr="00047A22">
        <w:rPr>
          <w:rFonts w:ascii="Calibri" w:eastAsia="Calibri" w:hAnsi="Calibri" w:cs="Calibri"/>
          <w:b w:val="0"/>
          <w:sz w:val="22"/>
          <w:szCs w:val="22"/>
        </w:rPr>
        <w:t>de transformation</w:t>
      </w:r>
      <w:r w:rsidR="00047A22">
        <w:rPr>
          <w:rFonts w:ascii="Calibri" w:eastAsia="Calibri" w:hAnsi="Calibri" w:cs="Calibri"/>
          <w:b w:val="0"/>
          <w:sz w:val="22"/>
          <w:szCs w:val="22"/>
        </w:rPr>
        <w:t xml:space="preserve">. </w:t>
      </w:r>
    </w:p>
    <w:p w14:paraId="0C0963A3" w14:textId="77777777" w:rsidR="00C20F92" w:rsidRDefault="00B07E38">
      <w:pPr>
        <w:pStyle w:val="Titre4"/>
        <w:spacing w:before="240" w:after="40"/>
        <w:ind w:left="720" w:hanging="360"/>
        <w:jc w:val="both"/>
        <w:rPr>
          <w:rFonts w:ascii="Calibri" w:eastAsia="Calibri" w:hAnsi="Calibri" w:cs="Calibri"/>
          <w:b w:val="0"/>
        </w:rPr>
      </w:pPr>
      <w:r>
        <w:rPr>
          <w:rFonts w:ascii="Calibri" w:eastAsia="Calibri" w:hAnsi="Calibri" w:cs="Calibri"/>
        </w:rPr>
        <w:t>2. Capacité à concevoir et structurer un programme pilote</w:t>
      </w:r>
    </w:p>
    <w:p w14:paraId="5F4021E1" w14:textId="77777777" w:rsidR="00C20F92" w:rsidRDefault="00B07E38">
      <w:pPr>
        <w:pStyle w:val="Titre4"/>
        <w:numPr>
          <w:ilvl w:val="0"/>
          <w:numId w:val="11"/>
        </w:numPr>
        <w:spacing w:before="240" w:after="0"/>
        <w:jc w:val="both"/>
        <w:rPr>
          <w:rFonts w:ascii="Calibri" w:eastAsia="Calibri" w:hAnsi="Calibri" w:cs="Calibri"/>
          <w:b w:val="0"/>
          <w:sz w:val="22"/>
          <w:szCs w:val="22"/>
        </w:rPr>
      </w:pPr>
      <w:r>
        <w:rPr>
          <w:rFonts w:ascii="Calibri" w:eastAsia="Calibri" w:hAnsi="Calibri" w:cs="Calibri"/>
          <w:b w:val="0"/>
          <w:sz w:val="22"/>
          <w:szCs w:val="22"/>
        </w:rPr>
        <w:t>Expérience en ingénierie de programme : cadrage, structuration méthodologique, définition des processus de sélection, accompagnement et évaluation</w:t>
      </w:r>
    </w:p>
    <w:p w14:paraId="3A60A163" w14:textId="77777777" w:rsidR="00C20F92" w:rsidRDefault="00B07E38">
      <w:pPr>
        <w:pStyle w:val="Titre4"/>
        <w:numPr>
          <w:ilvl w:val="0"/>
          <w:numId w:val="11"/>
        </w:numPr>
        <w:spacing w:after="0"/>
        <w:jc w:val="both"/>
        <w:rPr>
          <w:rFonts w:ascii="Calibri" w:eastAsia="Calibri" w:hAnsi="Calibri" w:cs="Calibri"/>
          <w:b w:val="0"/>
          <w:sz w:val="22"/>
          <w:szCs w:val="22"/>
        </w:rPr>
      </w:pPr>
      <w:r>
        <w:rPr>
          <w:rFonts w:ascii="Calibri" w:eastAsia="Calibri" w:hAnsi="Calibri" w:cs="Calibri"/>
          <w:b w:val="0"/>
          <w:sz w:val="22"/>
          <w:szCs w:val="22"/>
        </w:rPr>
        <w:t>Capacité à produire des outils opérationnels (grilles, canevas, guides) et à animer des ateliers participatifs de co-construction</w:t>
      </w:r>
    </w:p>
    <w:p w14:paraId="281C14FA" w14:textId="77777777" w:rsidR="00C20F92" w:rsidRDefault="00B07E38">
      <w:pPr>
        <w:pStyle w:val="Titre4"/>
        <w:numPr>
          <w:ilvl w:val="0"/>
          <w:numId w:val="11"/>
        </w:numPr>
        <w:spacing w:after="240"/>
        <w:jc w:val="both"/>
        <w:rPr>
          <w:rFonts w:ascii="Calibri" w:eastAsia="Calibri" w:hAnsi="Calibri" w:cs="Calibri"/>
          <w:b w:val="0"/>
          <w:sz w:val="22"/>
          <w:szCs w:val="22"/>
        </w:rPr>
      </w:pPr>
      <w:r>
        <w:rPr>
          <w:rFonts w:ascii="Calibri" w:eastAsia="Calibri" w:hAnsi="Calibri" w:cs="Calibri"/>
          <w:b w:val="0"/>
          <w:sz w:val="22"/>
          <w:szCs w:val="22"/>
        </w:rPr>
        <w:t>Bonne maîtrise des mécanismes de pérennisation et d’intégration dans les politiques publiques</w:t>
      </w:r>
    </w:p>
    <w:p w14:paraId="585D95A2" w14:textId="77777777" w:rsidR="00C20F92" w:rsidRDefault="00B07E38">
      <w:pPr>
        <w:pStyle w:val="Titre4"/>
        <w:spacing w:before="240" w:after="40"/>
        <w:ind w:left="720" w:hanging="360"/>
        <w:jc w:val="both"/>
        <w:rPr>
          <w:rFonts w:ascii="Calibri" w:eastAsia="Calibri" w:hAnsi="Calibri" w:cs="Calibri"/>
          <w:b w:val="0"/>
        </w:rPr>
      </w:pPr>
      <w:r>
        <w:rPr>
          <w:rFonts w:ascii="Calibri" w:eastAsia="Calibri" w:hAnsi="Calibri" w:cs="Calibri"/>
        </w:rPr>
        <w:t>3. Compétences en analyse stratégique, capitalisation et transfert de connaissances</w:t>
      </w:r>
    </w:p>
    <w:p w14:paraId="19424763" w14:textId="77777777" w:rsidR="00C20F92" w:rsidRDefault="00B07E38">
      <w:pPr>
        <w:pStyle w:val="Titre4"/>
        <w:numPr>
          <w:ilvl w:val="0"/>
          <w:numId w:val="9"/>
        </w:numPr>
        <w:spacing w:before="240" w:after="0"/>
        <w:jc w:val="both"/>
        <w:rPr>
          <w:rFonts w:ascii="Calibri" w:eastAsia="Calibri" w:hAnsi="Calibri" w:cs="Calibri"/>
          <w:b w:val="0"/>
          <w:sz w:val="22"/>
          <w:szCs w:val="22"/>
        </w:rPr>
      </w:pPr>
      <w:r>
        <w:rPr>
          <w:rFonts w:ascii="Calibri" w:eastAsia="Calibri" w:hAnsi="Calibri" w:cs="Calibri"/>
          <w:b w:val="0"/>
          <w:sz w:val="22"/>
          <w:szCs w:val="22"/>
        </w:rPr>
        <w:t>Maîtrise des approches de diagnostic institutionnel et d’évaluation de dispositifs publics.</w:t>
      </w:r>
    </w:p>
    <w:p w14:paraId="1EB96B25" w14:textId="77777777" w:rsidR="00C20F92" w:rsidRDefault="00B07E38">
      <w:pPr>
        <w:pStyle w:val="Titre4"/>
        <w:numPr>
          <w:ilvl w:val="0"/>
          <w:numId w:val="9"/>
        </w:numPr>
        <w:spacing w:after="0"/>
        <w:jc w:val="both"/>
        <w:rPr>
          <w:rFonts w:ascii="Calibri" w:eastAsia="Calibri" w:hAnsi="Calibri" w:cs="Calibri"/>
          <w:b w:val="0"/>
          <w:sz w:val="22"/>
          <w:szCs w:val="22"/>
        </w:rPr>
      </w:pPr>
      <w:bookmarkStart w:id="2" w:name="_4lb4rl8dz9va" w:colFirst="0" w:colLast="0"/>
      <w:bookmarkEnd w:id="2"/>
      <w:r>
        <w:rPr>
          <w:rFonts w:ascii="Calibri" w:eastAsia="Calibri" w:hAnsi="Calibri" w:cs="Calibri"/>
          <w:b w:val="0"/>
          <w:sz w:val="22"/>
          <w:szCs w:val="22"/>
        </w:rPr>
        <w:t>Capacité à capitaliser sur les expériences nationales et internationales pour produire des recommandations concrètes.</w:t>
      </w:r>
    </w:p>
    <w:p w14:paraId="4A503D89" w14:textId="77777777" w:rsidR="00C20F92" w:rsidRDefault="00B07E38">
      <w:pPr>
        <w:pStyle w:val="Titre4"/>
        <w:numPr>
          <w:ilvl w:val="0"/>
          <w:numId w:val="9"/>
        </w:numPr>
        <w:spacing w:after="0"/>
        <w:jc w:val="both"/>
        <w:rPr>
          <w:rFonts w:ascii="Calibri" w:eastAsia="Calibri" w:hAnsi="Calibri" w:cs="Calibri"/>
          <w:b w:val="0"/>
          <w:sz w:val="22"/>
          <w:szCs w:val="22"/>
        </w:rPr>
      </w:pPr>
      <w:bookmarkStart w:id="3" w:name="_70ldqeyeik70" w:colFirst="0" w:colLast="0"/>
      <w:bookmarkEnd w:id="3"/>
      <w:r>
        <w:rPr>
          <w:rFonts w:ascii="Calibri" w:eastAsia="Calibri" w:hAnsi="Calibri" w:cs="Calibri"/>
          <w:b w:val="0"/>
          <w:sz w:val="22"/>
          <w:szCs w:val="22"/>
        </w:rPr>
        <w:t>Compétence avérée en restitution synthétique, production de rapports, fiches pratiques et présentations à destination de décideurs.</w:t>
      </w:r>
    </w:p>
    <w:p w14:paraId="03559B79" w14:textId="77777777" w:rsidR="00C20F92" w:rsidRDefault="00B07E38">
      <w:pPr>
        <w:numPr>
          <w:ilvl w:val="0"/>
          <w:numId w:val="5"/>
        </w:numPr>
        <w:pBdr>
          <w:top w:val="nil"/>
          <w:left w:val="nil"/>
          <w:bottom w:val="nil"/>
          <w:right w:val="nil"/>
          <w:between w:val="nil"/>
        </w:pBdr>
        <w:spacing w:before="120" w:after="0" w:line="240" w:lineRule="auto"/>
        <w:rPr>
          <w:b/>
          <w:sz w:val="24"/>
          <w:szCs w:val="24"/>
        </w:rPr>
      </w:pPr>
      <w:r>
        <w:rPr>
          <w:b/>
          <w:color w:val="FFC000"/>
          <w:sz w:val="24"/>
          <w:szCs w:val="24"/>
        </w:rPr>
        <w:t>Expériences et références :</w:t>
      </w:r>
    </w:p>
    <w:p w14:paraId="063A1740" w14:textId="77777777" w:rsidR="00C20F92" w:rsidRDefault="00B07E38">
      <w:pPr>
        <w:numPr>
          <w:ilvl w:val="0"/>
          <w:numId w:val="4"/>
        </w:numPr>
        <w:spacing w:after="0" w:line="240" w:lineRule="auto"/>
      </w:pPr>
      <w:r>
        <w:t>Références solides dans la mise en œuvre de programmes ou d’études liés à l’innovation publique, à la transformation numérique ou à l’entrepreneuriat d’intérêt général ;</w:t>
      </w:r>
    </w:p>
    <w:p w14:paraId="7D9A9EC1" w14:textId="77777777" w:rsidR="00C20F92" w:rsidRDefault="00B07E38">
      <w:pPr>
        <w:numPr>
          <w:ilvl w:val="0"/>
          <w:numId w:val="4"/>
        </w:numPr>
        <w:spacing w:after="0" w:line="240" w:lineRule="auto"/>
      </w:pPr>
      <w:r>
        <w:t>Expériences similaires de conception ou d’animation de programmes de Startup d’État, de laboratoires d’innovation publique, ou de démarches d’innovation centrées usagers ;</w:t>
      </w:r>
    </w:p>
    <w:p w14:paraId="2FC94E45" w14:textId="77777777" w:rsidR="00C20F92" w:rsidRDefault="00B07E38">
      <w:pPr>
        <w:numPr>
          <w:ilvl w:val="0"/>
          <w:numId w:val="4"/>
        </w:numPr>
        <w:spacing w:after="0" w:line="240" w:lineRule="auto"/>
      </w:pPr>
      <w:r>
        <w:t xml:space="preserve">Expérience avérée de travail en Afrique de l’Ouest ou en contexte africain francophone, avec une bonne compréhension des dynamiques institutionnelles locales ; </w:t>
      </w:r>
    </w:p>
    <w:p w14:paraId="58CC8628" w14:textId="77777777" w:rsidR="00C20F92" w:rsidRDefault="00B07E38">
      <w:pPr>
        <w:numPr>
          <w:ilvl w:val="0"/>
          <w:numId w:val="4"/>
        </w:numPr>
        <w:spacing w:after="0" w:line="240" w:lineRule="auto"/>
      </w:pPr>
      <w:r>
        <w:t>Capacité démontrée à collaborer avec des partenaires publics, techniques et institutionnels.</w:t>
      </w:r>
    </w:p>
    <w:p w14:paraId="3943853F" w14:textId="77777777" w:rsidR="00C20F92" w:rsidRPr="00143DED" w:rsidRDefault="00B07E38">
      <w:pPr>
        <w:numPr>
          <w:ilvl w:val="0"/>
          <w:numId w:val="7"/>
        </w:numPr>
        <w:pBdr>
          <w:top w:val="nil"/>
          <w:left w:val="nil"/>
          <w:bottom w:val="nil"/>
          <w:right w:val="nil"/>
          <w:between w:val="nil"/>
        </w:pBdr>
        <w:spacing w:before="120" w:after="0" w:line="240" w:lineRule="auto"/>
        <w:rPr>
          <w:b/>
          <w:sz w:val="24"/>
          <w:szCs w:val="24"/>
        </w:rPr>
      </w:pPr>
      <w:r>
        <w:rPr>
          <w:b/>
          <w:color w:val="FFC000"/>
          <w:sz w:val="24"/>
          <w:szCs w:val="24"/>
        </w:rPr>
        <w:t>Composition de l’équipe attendue :</w:t>
      </w:r>
    </w:p>
    <w:p w14:paraId="34FAD350" w14:textId="77777777" w:rsidR="00143DED" w:rsidRDefault="00143DED" w:rsidP="00047A22">
      <w:pPr>
        <w:pBdr>
          <w:top w:val="nil"/>
          <w:left w:val="nil"/>
          <w:bottom w:val="nil"/>
          <w:right w:val="nil"/>
          <w:between w:val="nil"/>
        </w:pBdr>
        <w:spacing w:before="120" w:after="0" w:line="240" w:lineRule="auto"/>
        <w:ind w:left="360"/>
        <w:rPr>
          <w:b/>
          <w:sz w:val="24"/>
          <w:szCs w:val="24"/>
        </w:rPr>
      </w:pPr>
    </w:p>
    <w:p w14:paraId="574271FE" w14:textId="4468CCB3" w:rsidR="00143DED" w:rsidRDefault="00143DED">
      <w:pPr>
        <w:spacing w:after="0" w:line="240" w:lineRule="auto"/>
      </w:pPr>
      <w:r w:rsidRPr="00143DED">
        <w:t>Le prestataire devra proposer une équipe pluridisciplinaire intégrant l’ensemble des compétences suivantes, qui peuvent être réparties entre plusieurs personnes ou regroupées au sein de profils polyvalents :</w:t>
      </w:r>
      <w:r w:rsidRPr="00143DED">
        <w:br/>
        <w:t xml:space="preserve">● </w:t>
      </w:r>
      <w:r w:rsidRPr="00143DED">
        <w:rPr>
          <w:b/>
          <w:bCs/>
        </w:rPr>
        <w:t>Coordination de mission</w:t>
      </w:r>
      <w:r w:rsidRPr="00143DED">
        <w:t xml:space="preserve"> : supervision globale, pilotage opérationnel, gestion de la relation avec la CEAC et Expertise France ;</w:t>
      </w:r>
      <w:r w:rsidRPr="00143DED">
        <w:br/>
        <w:t xml:space="preserve">● </w:t>
      </w:r>
      <w:r w:rsidRPr="00143DED">
        <w:rPr>
          <w:b/>
          <w:bCs/>
        </w:rPr>
        <w:t>Expertise en innovation publique / Startup d’État</w:t>
      </w:r>
      <w:r w:rsidRPr="00143DED">
        <w:t xml:space="preserve"> : conception méthodologique, élaboration de benchmarks internationaux, adaptation aux enjeux locaux ;</w:t>
      </w:r>
      <w:r w:rsidRPr="00143DED">
        <w:br/>
        <w:t xml:space="preserve">● </w:t>
      </w:r>
      <w:r w:rsidRPr="00143DED">
        <w:rPr>
          <w:b/>
          <w:bCs/>
        </w:rPr>
        <w:t>Analyse stratégique et politiques publiques</w:t>
      </w:r>
      <w:r w:rsidRPr="00143DED">
        <w:t xml:space="preserve"> : diagnostic institutionnel, production de feuilles de route, consolidation des livrables stratégiques ;</w:t>
      </w:r>
      <w:r w:rsidRPr="00143DED">
        <w:br/>
        <w:t xml:space="preserve">● </w:t>
      </w:r>
      <w:r w:rsidRPr="00143DED">
        <w:rPr>
          <w:b/>
          <w:bCs/>
        </w:rPr>
        <w:t>Facilitation et logistique de terrain</w:t>
      </w:r>
      <w:r w:rsidRPr="00143DED">
        <w:t xml:space="preserve"> : organisation des ateliers de co-construction, coordination de la visite d’étude, appui à la documentation et à la capitalisation.</w:t>
      </w:r>
    </w:p>
    <w:p w14:paraId="6C7C7C3C" w14:textId="77777777" w:rsidR="00143DED" w:rsidRDefault="00143DED">
      <w:pPr>
        <w:spacing w:after="0" w:line="240" w:lineRule="auto"/>
      </w:pPr>
    </w:p>
    <w:p w14:paraId="4F3E115D" w14:textId="740F99F7" w:rsidR="00143DED" w:rsidRDefault="00143DED" w:rsidP="00143DED">
      <w:pPr>
        <w:spacing w:after="0" w:line="240" w:lineRule="auto"/>
        <w:jc w:val="both"/>
      </w:pPr>
      <w:r w:rsidRPr="00143DED">
        <w:rPr>
          <w:b/>
          <w:bCs/>
        </w:rPr>
        <w:t xml:space="preserve">Si des </w:t>
      </w:r>
      <w:proofErr w:type="spellStart"/>
      <w:r w:rsidRPr="00143DED">
        <w:rPr>
          <w:b/>
          <w:bCs/>
        </w:rPr>
        <w:t>expert·e·s</w:t>
      </w:r>
      <w:proofErr w:type="spellEnd"/>
      <w:r w:rsidRPr="00143DED">
        <w:rPr>
          <w:b/>
          <w:bCs/>
        </w:rPr>
        <w:t xml:space="preserve"> </w:t>
      </w:r>
      <w:proofErr w:type="spellStart"/>
      <w:r w:rsidRPr="00143DED">
        <w:rPr>
          <w:b/>
          <w:bCs/>
        </w:rPr>
        <w:t>internationaux·ales</w:t>
      </w:r>
      <w:proofErr w:type="spellEnd"/>
      <w:r w:rsidRPr="00143DED">
        <w:rPr>
          <w:b/>
          <w:bCs/>
        </w:rPr>
        <w:t xml:space="preserve"> sont </w:t>
      </w:r>
      <w:proofErr w:type="spellStart"/>
      <w:r w:rsidRPr="00143DED">
        <w:rPr>
          <w:b/>
          <w:bCs/>
        </w:rPr>
        <w:t>mobilisé·e·s</w:t>
      </w:r>
      <w:proofErr w:type="spellEnd"/>
      <w:r w:rsidRPr="00143DED">
        <w:rPr>
          <w:b/>
          <w:bCs/>
        </w:rPr>
        <w:t>, le prestataire devra impérativement associer au moins un expert sénégalais à l’équipe</w:t>
      </w:r>
      <w:r w:rsidRPr="00143DED">
        <w:t>, afin d’assurer une bonne connaissance du contexte institutionnel, de renforcer l’ancrage local de la mission, et de favoriser le transfert de compétences.</w:t>
      </w:r>
      <w:r w:rsidR="00047A22">
        <w:t xml:space="preserve"> Cette expertise locale devra être inclus dans la conception stratégique du programme. </w:t>
      </w:r>
    </w:p>
    <w:p w14:paraId="6DD22373" w14:textId="77777777" w:rsidR="00143DED" w:rsidRDefault="00143DED">
      <w:pPr>
        <w:spacing w:after="0" w:line="240" w:lineRule="auto"/>
      </w:pPr>
    </w:p>
    <w:p w14:paraId="7454B59C" w14:textId="2B1C0AAC" w:rsidR="00C20F92" w:rsidRDefault="00B07E38">
      <w:pPr>
        <w:spacing w:after="0" w:line="240" w:lineRule="auto"/>
        <w:rPr>
          <w:b/>
        </w:rPr>
      </w:pPr>
      <w:r>
        <w:rPr>
          <w:b/>
        </w:rPr>
        <w:t>La présence d’experts nationaux ou régionaux, ainsi que de femmes dans l’équipe, sera considérée comme un atout fort.</w:t>
      </w:r>
    </w:p>
    <w:p w14:paraId="5BB9653E" w14:textId="77777777" w:rsidR="00CD624C" w:rsidRDefault="00CD624C">
      <w:pPr>
        <w:spacing w:after="0" w:line="240" w:lineRule="auto"/>
      </w:pPr>
    </w:p>
    <w:p w14:paraId="5BC4E49B" w14:textId="77777777" w:rsidR="00886AE6" w:rsidRPr="00E06801" w:rsidRDefault="00886AE6" w:rsidP="00886AE6">
      <w:pPr>
        <w:shd w:val="clear" w:color="auto" w:fill="D9E2F3"/>
        <w:rPr>
          <w:b/>
          <w:sz w:val="32"/>
          <w:szCs w:val="32"/>
        </w:rPr>
      </w:pPr>
      <w:r w:rsidRPr="00E06801">
        <w:rPr>
          <w:b/>
          <w:sz w:val="32"/>
          <w:szCs w:val="32"/>
        </w:rPr>
        <w:lastRenderedPageBreak/>
        <w:t xml:space="preserve">Critères d’évaluation </w:t>
      </w:r>
      <w:r>
        <w:rPr>
          <w:b/>
          <w:sz w:val="32"/>
          <w:szCs w:val="32"/>
        </w:rPr>
        <w:t>des offres techniques</w:t>
      </w:r>
    </w:p>
    <w:tbl>
      <w:tblPr>
        <w:tblStyle w:val="Grilledutableau"/>
        <w:tblW w:w="0" w:type="auto"/>
        <w:tblLook w:val="04A0" w:firstRow="1" w:lastRow="0" w:firstColumn="1" w:lastColumn="0" w:noHBand="0" w:noVBand="1"/>
      </w:tblPr>
      <w:tblGrid>
        <w:gridCol w:w="6443"/>
        <w:gridCol w:w="2619"/>
      </w:tblGrid>
      <w:tr w:rsidR="00A90A64" w14:paraId="7D81E333" w14:textId="77777777" w:rsidTr="005D1C58">
        <w:tc>
          <w:tcPr>
            <w:tcW w:w="6654" w:type="dxa"/>
            <w:shd w:val="clear" w:color="auto" w:fill="D9D9D9" w:themeFill="background1" w:themeFillShade="D9"/>
          </w:tcPr>
          <w:p w14:paraId="37C340F4" w14:textId="77777777" w:rsidR="00A90A64" w:rsidRPr="00195EFC" w:rsidRDefault="00A90A64" w:rsidP="005D1C58">
            <w:pPr>
              <w:jc w:val="both"/>
              <w:rPr>
                <w:rFonts w:ascii="Calibri" w:hAnsi="Calibri" w:cs="Calibri"/>
                <w:b/>
                <w:sz w:val="22"/>
                <w:szCs w:val="22"/>
              </w:rPr>
            </w:pPr>
            <w:bookmarkStart w:id="4" w:name="_Hlk201745013"/>
            <w:r w:rsidRPr="00195EFC">
              <w:rPr>
                <w:rFonts w:ascii="Calibri" w:hAnsi="Calibri" w:cs="Calibri"/>
                <w:b/>
                <w:sz w:val="22"/>
                <w:szCs w:val="22"/>
              </w:rPr>
              <w:t>Sous-critères permettant d’apprécier la qualité technique</w:t>
            </w:r>
          </w:p>
        </w:tc>
        <w:tc>
          <w:tcPr>
            <w:tcW w:w="2692" w:type="dxa"/>
            <w:shd w:val="clear" w:color="auto" w:fill="D9D9D9" w:themeFill="background1" w:themeFillShade="D9"/>
          </w:tcPr>
          <w:p w14:paraId="589F9772" w14:textId="77777777" w:rsidR="00A90A64" w:rsidRPr="00195EFC" w:rsidRDefault="00A90A64" w:rsidP="005D1C58">
            <w:pPr>
              <w:jc w:val="center"/>
              <w:rPr>
                <w:rFonts w:ascii="Calibri" w:hAnsi="Calibri" w:cs="Calibri"/>
                <w:b/>
                <w:sz w:val="22"/>
                <w:szCs w:val="22"/>
              </w:rPr>
            </w:pPr>
            <w:r w:rsidRPr="00195EFC">
              <w:rPr>
                <w:rFonts w:ascii="Calibri" w:hAnsi="Calibri" w:cs="Calibri"/>
                <w:b/>
                <w:sz w:val="22"/>
                <w:szCs w:val="22"/>
              </w:rPr>
              <w:t>Nombre de points maximum</w:t>
            </w:r>
          </w:p>
        </w:tc>
      </w:tr>
      <w:tr w:rsidR="00A90A64" w14:paraId="39932A56" w14:textId="77777777" w:rsidTr="005D1C58">
        <w:tc>
          <w:tcPr>
            <w:tcW w:w="6654" w:type="dxa"/>
          </w:tcPr>
          <w:p w14:paraId="7AF62637" w14:textId="77777777" w:rsidR="00A90A64" w:rsidRPr="00195EFC" w:rsidRDefault="00A90A64" w:rsidP="005D1C58">
            <w:pPr>
              <w:jc w:val="both"/>
              <w:rPr>
                <w:rFonts w:ascii="Calibri" w:hAnsi="Calibri" w:cs="Calibri"/>
                <w:b/>
                <w:sz w:val="22"/>
                <w:szCs w:val="22"/>
              </w:rPr>
            </w:pPr>
            <w:r w:rsidRPr="00195EFC">
              <w:rPr>
                <w:rFonts w:ascii="Calibri" w:hAnsi="Calibri" w:cs="Calibri"/>
                <w:b/>
                <w:sz w:val="22"/>
                <w:szCs w:val="22"/>
              </w:rPr>
              <w:t>Sous-critère 1 : Expertise en innovation publique et Startups d’État</w:t>
            </w:r>
          </w:p>
        </w:tc>
        <w:tc>
          <w:tcPr>
            <w:tcW w:w="2692" w:type="dxa"/>
          </w:tcPr>
          <w:p w14:paraId="50251493" w14:textId="77777777" w:rsidR="00A90A64" w:rsidRPr="00195EFC" w:rsidRDefault="00A90A64" w:rsidP="005D1C58">
            <w:pPr>
              <w:jc w:val="center"/>
              <w:rPr>
                <w:rFonts w:ascii="Calibri" w:hAnsi="Calibri" w:cs="Calibri"/>
                <w:b/>
                <w:sz w:val="22"/>
                <w:szCs w:val="22"/>
              </w:rPr>
            </w:pPr>
            <w:r w:rsidRPr="00195EFC">
              <w:rPr>
                <w:rFonts w:ascii="Calibri" w:hAnsi="Calibri" w:cs="Calibri"/>
                <w:b/>
                <w:sz w:val="22"/>
                <w:szCs w:val="22"/>
              </w:rPr>
              <w:t>20</w:t>
            </w:r>
          </w:p>
        </w:tc>
      </w:tr>
      <w:tr w:rsidR="00A90A64" w14:paraId="6584B399" w14:textId="77777777" w:rsidTr="005D1C58">
        <w:tc>
          <w:tcPr>
            <w:tcW w:w="6654" w:type="dxa"/>
          </w:tcPr>
          <w:p w14:paraId="5DCC0466" w14:textId="77777777" w:rsidR="00A90A64" w:rsidRPr="00195EFC" w:rsidRDefault="00A90A64" w:rsidP="005D1C58">
            <w:pPr>
              <w:jc w:val="both"/>
              <w:rPr>
                <w:rFonts w:ascii="Calibri" w:hAnsi="Calibri" w:cs="Calibri"/>
                <w:b/>
                <w:sz w:val="22"/>
                <w:szCs w:val="22"/>
              </w:rPr>
            </w:pPr>
            <w:r w:rsidRPr="00195EFC">
              <w:rPr>
                <w:rFonts w:ascii="Calibri" w:hAnsi="Calibri" w:cs="Calibri"/>
                <w:b/>
                <w:sz w:val="22"/>
                <w:szCs w:val="22"/>
              </w:rPr>
              <w:t>Sous-critère 2 : Capacité d’intervention sur site et support local</w:t>
            </w:r>
          </w:p>
        </w:tc>
        <w:tc>
          <w:tcPr>
            <w:tcW w:w="2692" w:type="dxa"/>
          </w:tcPr>
          <w:p w14:paraId="76D1B11E" w14:textId="77777777" w:rsidR="00A90A64" w:rsidRPr="00195EFC" w:rsidRDefault="00A90A64" w:rsidP="005D1C58">
            <w:pPr>
              <w:jc w:val="center"/>
              <w:rPr>
                <w:rFonts w:ascii="Calibri" w:hAnsi="Calibri" w:cs="Calibri"/>
                <w:b/>
                <w:sz w:val="22"/>
                <w:szCs w:val="22"/>
              </w:rPr>
            </w:pPr>
            <w:r w:rsidRPr="00195EFC">
              <w:rPr>
                <w:rFonts w:ascii="Calibri" w:hAnsi="Calibri" w:cs="Calibri"/>
                <w:b/>
                <w:sz w:val="22"/>
                <w:szCs w:val="22"/>
              </w:rPr>
              <w:t>10</w:t>
            </w:r>
          </w:p>
        </w:tc>
      </w:tr>
      <w:tr w:rsidR="00A90A64" w14:paraId="4C2D15CE" w14:textId="77777777" w:rsidTr="005D1C58">
        <w:tc>
          <w:tcPr>
            <w:tcW w:w="6654" w:type="dxa"/>
          </w:tcPr>
          <w:p w14:paraId="2EEADD68" w14:textId="77777777" w:rsidR="00A90A64" w:rsidRPr="00195EFC" w:rsidRDefault="00A90A64" w:rsidP="005D1C58">
            <w:pPr>
              <w:jc w:val="both"/>
              <w:rPr>
                <w:rFonts w:ascii="Calibri" w:hAnsi="Calibri" w:cs="Calibri"/>
                <w:b/>
                <w:sz w:val="22"/>
                <w:szCs w:val="22"/>
              </w:rPr>
            </w:pPr>
            <w:r w:rsidRPr="00195EFC">
              <w:rPr>
                <w:rFonts w:ascii="Calibri" w:hAnsi="Calibri" w:cs="Calibri"/>
                <w:b/>
                <w:sz w:val="22"/>
                <w:szCs w:val="22"/>
              </w:rPr>
              <w:t xml:space="preserve">Sous-critère 3 : </w:t>
            </w:r>
            <w:r>
              <w:rPr>
                <w:rFonts w:ascii="Calibri" w:hAnsi="Calibri" w:cs="Calibri"/>
                <w:b/>
                <w:sz w:val="22"/>
                <w:szCs w:val="22"/>
              </w:rPr>
              <w:t>Bonne compréhension des dynamiques institutionnelles locales et m</w:t>
            </w:r>
            <w:r w:rsidRPr="00E66EF5">
              <w:rPr>
                <w:rFonts w:ascii="Calibri" w:hAnsi="Calibri" w:cs="Calibri"/>
                <w:b/>
                <w:sz w:val="22"/>
                <w:szCs w:val="22"/>
              </w:rPr>
              <w:t>aitrise des procédures administratives et</w:t>
            </w:r>
            <w:r>
              <w:rPr>
                <w:rFonts w:ascii="Calibri" w:hAnsi="Calibri" w:cs="Calibri"/>
                <w:b/>
                <w:sz w:val="22"/>
                <w:szCs w:val="22"/>
              </w:rPr>
              <w:t xml:space="preserve"> </w:t>
            </w:r>
            <w:r w:rsidRPr="00E66EF5">
              <w:rPr>
                <w:rFonts w:ascii="Calibri" w:hAnsi="Calibri" w:cs="Calibri"/>
                <w:b/>
                <w:sz w:val="22"/>
                <w:szCs w:val="22"/>
              </w:rPr>
              <w:t>logiques institutionnelles sénégalaises.</w:t>
            </w:r>
          </w:p>
        </w:tc>
        <w:tc>
          <w:tcPr>
            <w:tcW w:w="2692" w:type="dxa"/>
          </w:tcPr>
          <w:p w14:paraId="033CBD0C" w14:textId="77777777" w:rsidR="00A90A64" w:rsidRPr="00195EFC" w:rsidRDefault="00A90A64" w:rsidP="005D1C58">
            <w:pPr>
              <w:jc w:val="center"/>
              <w:rPr>
                <w:rFonts w:ascii="Calibri" w:hAnsi="Calibri" w:cs="Calibri"/>
                <w:b/>
                <w:sz w:val="22"/>
                <w:szCs w:val="22"/>
              </w:rPr>
            </w:pPr>
            <w:r w:rsidRPr="00195EFC">
              <w:rPr>
                <w:rFonts w:ascii="Calibri" w:hAnsi="Calibri" w:cs="Calibri"/>
                <w:b/>
                <w:sz w:val="22"/>
                <w:szCs w:val="22"/>
              </w:rPr>
              <w:t>10</w:t>
            </w:r>
          </w:p>
        </w:tc>
      </w:tr>
      <w:tr w:rsidR="00A90A64" w14:paraId="09131CBA" w14:textId="77777777" w:rsidTr="005D1C58">
        <w:tc>
          <w:tcPr>
            <w:tcW w:w="6654" w:type="dxa"/>
          </w:tcPr>
          <w:p w14:paraId="78AA4C43" w14:textId="77777777" w:rsidR="00A90A64" w:rsidRPr="00A602AA" w:rsidRDefault="00A90A64" w:rsidP="005D1C58">
            <w:pPr>
              <w:jc w:val="both"/>
              <w:rPr>
                <w:rFonts w:ascii="Calibri" w:hAnsi="Calibri" w:cs="Calibri"/>
                <w:b/>
                <w:sz w:val="22"/>
                <w:szCs w:val="22"/>
              </w:rPr>
            </w:pPr>
            <w:r w:rsidRPr="00195EFC">
              <w:rPr>
                <w:rFonts w:ascii="Calibri" w:hAnsi="Calibri" w:cs="Calibri"/>
                <w:b/>
                <w:sz w:val="22"/>
                <w:szCs w:val="22"/>
              </w:rPr>
              <w:t xml:space="preserve">Sous-critère 4 : Méthodologie proposée de l’intervention </w:t>
            </w:r>
          </w:p>
        </w:tc>
        <w:tc>
          <w:tcPr>
            <w:tcW w:w="2692" w:type="dxa"/>
          </w:tcPr>
          <w:p w14:paraId="383CA1AC" w14:textId="77777777" w:rsidR="00A90A64" w:rsidRPr="00195EFC" w:rsidRDefault="00A90A64" w:rsidP="005D1C58">
            <w:pPr>
              <w:jc w:val="center"/>
              <w:rPr>
                <w:rFonts w:ascii="Calibri" w:hAnsi="Calibri" w:cs="Calibri"/>
                <w:b/>
                <w:sz w:val="22"/>
                <w:szCs w:val="22"/>
              </w:rPr>
            </w:pPr>
            <w:r w:rsidRPr="00195EFC">
              <w:rPr>
                <w:rFonts w:ascii="Calibri" w:hAnsi="Calibri" w:cs="Calibri"/>
                <w:b/>
                <w:sz w:val="22"/>
                <w:szCs w:val="22"/>
              </w:rPr>
              <w:t>15</w:t>
            </w:r>
          </w:p>
        </w:tc>
      </w:tr>
      <w:tr w:rsidR="00A90A64" w14:paraId="0BCEF799" w14:textId="77777777" w:rsidTr="005D1C58">
        <w:tc>
          <w:tcPr>
            <w:tcW w:w="6654" w:type="dxa"/>
          </w:tcPr>
          <w:p w14:paraId="3D41CBDC" w14:textId="4745D981" w:rsidR="00A90A64" w:rsidRPr="007A308D" w:rsidRDefault="00A90A64" w:rsidP="005D1C58">
            <w:pPr>
              <w:jc w:val="both"/>
              <w:rPr>
                <w:rFonts w:ascii="Calibri" w:hAnsi="Calibri" w:cs="Calibri"/>
                <w:b/>
                <w:sz w:val="22"/>
                <w:szCs w:val="22"/>
              </w:rPr>
            </w:pPr>
            <w:r w:rsidRPr="007A308D">
              <w:rPr>
                <w:rFonts w:ascii="Calibri" w:hAnsi="Calibri" w:cs="Calibri"/>
                <w:b/>
                <w:sz w:val="22"/>
                <w:szCs w:val="22"/>
              </w:rPr>
              <w:t xml:space="preserve">Sous-critère </w:t>
            </w:r>
            <w:r>
              <w:rPr>
                <w:rFonts w:ascii="Calibri" w:hAnsi="Calibri" w:cs="Calibri"/>
                <w:b/>
                <w:sz w:val="22"/>
                <w:szCs w:val="22"/>
              </w:rPr>
              <w:t>5</w:t>
            </w:r>
            <w:r w:rsidR="00FC512C">
              <w:rPr>
                <w:rFonts w:ascii="Calibri" w:hAnsi="Calibri" w:cs="Calibri"/>
                <w:b/>
                <w:sz w:val="22"/>
                <w:szCs w:val="22"/>
              </w:rPr>
              <w:t xml:space="preserve"> </w:t>
            </w:r>
            <w:r w:rsidRPr="007A308D">
              <w:rPr>
                <w:rFonts w:ascii="Calibri" w:hAnsi="Calibri" w:cs="Calibri"/>
                <w:b/>
                <w:sz w:val="22"/>
                <w:szCs w:val="22"/>
              </w:rPr>
              <w:t>: Expérience d</w:t>
            </w:r>
            <w:r>
              <w:rPr>
                <w:rFonts w:ascii="Calibri" w:hAnsi="Calibri" w:cs="Calibri"/>
                <w:b/>
                <w:sz w:val="22"/>
                <w:szCs w:val="22"/>
              </w:rPr>
              <w:t>u cabinet</w:t>
            </w:r>
            <w:r w:rsidRPr="007A308D">
              <w:rPr>
                <w:rFonts w:ascii="Calibri" w:hAnsi="Calibri" w:cs="Calibri"/>
                <w:b/>
                <w:sz w:val="22"/>
                <w:szCs w:val="22"/>
              </w:rPr>
              <w:t xml:space="preserve"> appréciée au regard de</w:t>
            </w:r>
            <w:r>
              <w:rPr>
                <w:rFonts w:ascii="Calibri" w:hAnsi="Calibri" w:cs="Calibri"/>
                <w:b/>
                <w:sz w:val="22"/>
                <w:szCs w:val="22"/>
              </w:rPr>
              <w:t> :</w:t>
            </w:r>
          </w:p>
          <w:p w14:paraId="20368AEB" w14:textId="77777777" w:rsidR="00A90A64" w:rsidRPr="006D473D" w:rsidRDefault="00A90A64" w:rsidP="00A90A64">
            <w:pPr>
              <w:numPr>
                <w:ilvl w:val="0"/>
                <w:numId w:val="19"/>
              </w:numPr>
              <w:spacing w:line="300" w:lineRule="atLeast"/>
              <w:contextualSpacing/>
              <w:jc w:val="both"/>
              <w:rPr>
                <w:rFonts w:ascii="Calibri" w:hAnsi="Calibri" w:cs="Calibri"/>
                <w:b/>
                <w:sz w:val="22"/>
                <w:szCs w:val="22"/>
              </w:rPr>
            </w:pPr>
            <w:r w:rsidRPr="00A602AA">
              <w:rPr>
                <w:rFonts w:ascii="Calibri" w:hAnsi="Calibri" w:cs="Calibri"/>
                <w:b/>
                <w:sz w:val="22"/>
                <w:szCs w:val="22"/>
              </w:rPr>
              <w:t>Expérience avérée de travail en Afrique de l’Ouest ou en contexte africain francophone</w:t>
            </w:r>
            <w:r>
              <w:rPr>
                <w:rFonts w:ascii="Calibri" w:hAnsi="Calibri" w:cs="Calibri"/>
                <w:b/>
                <w:sz w:val="22"/>
                <w:szCs w:val="22"/>
              </w:rPr>
              <w:t>.</w:t>
            </w:r>
          </w:p>
          <w:p w14:paraId="677C2499" w14:textId="77777777" w:rsidR="00A90A64" w:rsidRPr="00A602AA" w:rsidRDefault="00A90A64" w:rsidP="00A90A64">
            <w:pPr>
              <w:numPr>
                <w:ilvl w:val="0"/>
                <w:numId w:val="19"/>
              </w:numPr>
              <w:spacing w:line="300" w:lineRule="atLeast"/>
              <w:contextualSpacing/>
              <w:jc w:val="both"/>
              <w:rPr>
                <w:rFonts w:ascii="Calibri" w:hAnsi="Calibri" w:cs="Calibri"/>
                <w:b/>
                <w:sz w:val="22"/>
                <w:szCs w:val="22"/>
              </w:rPr>
            </w:pPr>
            <w:r w:rsidRPr="00A602AA">
              <w:rPr>
                <w:rFonts w:ascii="Calibri" w:hAnsi="Calibri" w:cs="Calibri"/>
                <w:b/>
                <w:sz w:val="22"/>
                <w:szCs w:val="22"/>
              </w:rPr>
              <w:t>Expériences antérieures sur des missions similaires</w:t>
            </w:r>
            <w:r w:rsidRPr="00195EFC">
              <w:rPr>
                <w:rFonts w:ascii="Calibri" w:hAnsi="Calibri" w:cs="Calibri"/>
                <w:b/>
                <w:sz w:val="22"/>
                <w:szCs w:val="22"/>
              </w:rPr>
              <w:t xml:space="preserve">  </w:t>
            </w:r>
          </w:p>
        </w:tc>
        <w:tc>
          <w:tcPr>
            <w:tcW w:w="2692" w:type="dxa"/>
          </w:tcPr>
          <w:p w14:paraId="2094E983" w14:textId="77777777" w:rsidR="00A90A64" w:rsidRPr="00195EFC" w:rsidRDefault="00A90A64" w:rsidP="005D1C58">
            <w:pPr>
              <w:jc w:val="center"/>
              <w:rPr>
                <w:rFonts w:ascii="Calibri" w:hAnsi="Calibri" w:cs="Calibri"/>
                <w:b/>
                <w:sz w:val="22"/>
                <w:szCs w:val="22"/>
              </w:rPr>
            </w:pPr>
            <w:r w:rsidRPr="00195EFC">
              <w:rPr>
                <w:rFonts w:ascii="Calibri" w:hAnsi="Calibri" w:cs="Calibri"/>
                <w:b/>
                <w:sz w:val="22"/>
                <w:szCs w:val="22"/>
              </w:rPr>
              <w:t>5</w:t>
            </w:r>
          </w:p>
        </w:tc>
      </w:tr>
      <w:tr w:rsidR="00A90A64" w14:paraId="175F7ED0" w14:textId="77777777" w:rsidTr="005D1C58">
        <w:tc>
          <w:tcPr>
            <w:tcW w:w="6654" w:type="dxa"/>
          </w:tcPr>
          <w:p w14:paraId="1DFD541E" w14:textId="77777777" w:rsidR="00A90A64" w:rsidRPr="007A308D" w:rsidRDefault="00A90A64" w:rsidP="005D1C58">
            <w:pPr>
              <w:jc w:val="both"/>
              <w:rPr>
                <w:rFonts w:ascii="Calibri" w:hAnsi="Calibri" w:cs="Calibri"/>
                <w:b/>
                <w:sz w:val="22"/>
                <w:szCs w:val="22"/>
              </w:rPr>
            </w:pPr>
            <w:r w:rsidRPr="007A308D">
              <w:rPr>
                <w:rFonts w:ascii="Calibri" w:hAnsi="Calibri" w:cs="Calibri"/>
                <w:b/>
                <w:sz w:val="22"/>
                <w:szCs w:val="22"/>
              </w:rPr>
              <w:t xml:space="preserve">Sous-critère </w:t>
            </w:r>
            <w:r>
              <w:rPr>
                <w:rFonts w:ascii="Calibri" w:hAnsi="Calibri" w:cs="Calibri"/>
                <w:b/>
                <w:sz w:val="22"/>
                <w:szCs w:val="22"/>
              </w:rPr>
              <w:t>6</w:t>
            </w:r>
            <w:r w:rsidRPr="007A308D">
              <w:rPr>
                <w:rFonts w:ascii="Calibri" w:hAnsi="Calibri" w:cs="Calibri"/>
                <w:b/>
                <w:sz w:val="22"/>
                <w:szCs w:val="22"/>
              </w:rPr>
              <w:t> : Expérience d</w:t>
            </w:r>
            <w:r>
              <w:rPr>
                <w:rFonts w:ascii="Calibri" w:hAnsi="Calibri" w:cs="Calibri"/>
                <w:b/>
                <w:sz w:val="22"/>
                <w:szCs w:val="22"/>
              </w:rPr>
              <w:t>es experts mobilisés</w:t>
            </w:r>
            <w:r w:rsidRPr="007A308D">
              <w:rPr>
                <w:rFonts w:ascii="Calibri" w:hAnsi="Calibri" w:cs="Calibri"/>
                <w:b/>
                <w:sz w:val="22"/>
                <w:szCs w:val="22"/>
              </w:rPr>
              <w:t xml:space="preserve"> appréciée au regard de</w:t>
            </w:r>
          </w:p>
          <w:p w14:paraId="1A90CAD5" w14:textId="77777777" w:rsidR="00A90A64" w:rsidRPr="006D473D" w:rsidRDefault="00A90A64" w:rsidP="00A90A64">
            <w:pPr>
              <w:numPr>
                <w:ilvl w:val="0"/>
                <w:numId w:val="19"/>
              </w:numPr>
              <w:spacing w:line="300" w:lineRule="atLeast"/>
              <w:contextualSpacing/>
              <w:jc w:val="both"/>
              <w:rPr>
                <w:rFonts w:ascii="Calibri" w:hAnsi="Calibri" w:cs="Calibri"/>
                <w:b/>
                <w:sz w:val="22"/>
                <w:szCs w:val="22"/>
              </w:rPr>
            </w:pPr>
            <w:r w:rsidRPr="00A602AA">
              <w:rPr>
                <w:rFonts w:ascii="Calibri" w:hAnsi="Calibri" w:cs="Calibri"/>
                <w:b/>
                <w:sz w:val="22"/>
                <w:szCs w:val="22"/>
              </w:rPr>
              <w:t>Expérience avérée de travail en Afrique de l’Ouest ou en contexte africain francophone</w:t>
            </w:r>
            <w:r>
              <w:rPr>
                <w:rFonts w:ascii="Calibri" w:hAnsi="Calibri" w:cs="Calibri"/>
                <w:b/>
                <w:sz w:val="22"/>
                <w:szCs w:val="22"/>
              </w:rPr>
              <w:t>.</w:t>
            </w:r>
          </w:p>
          <w:p w14:paraId="3FC20F3E" w14:textId="77777777" w:rsidR="00A90A64" w:rsidRPr="006D473D" w:rsidRDefault="00A90A64" w:rsidP="00A90A64">
            <w:pPr>
              <w:numPr>
                <w:ilvl w:val="0"/>
                <w:numId w:val="19"/>
              </w:numPr>
              <w:spacing w:line="300" w:lineRule="atLeast"/>
              <w:contextualSpacing/>
              <w:jc w:val="both"/>
              <w:rPr>
                <w:rFonts w:ascii="Calibri" w:hAnsi="Calibri" w:cs="Calibri"/>
                <w:b/>
                <w:sz w:val="22"/>
                <w:szCs w:val="22"/>
              </w:rPr>
            </w:pPr>
            <w:r w:rsidRPr="00E66EF5">
              <w:rPr>
                <w:rFonts w:ascii="Calibri" w:hAnsi="Calibri" w:cs="Calibri"/>
                <w:b/>
                <w:sz w:val="22"/>
                <w:szCs w:val="22"/>
              </w:rPr>
              <w:t>Expériences antérieures sur des missions similaires</w:t>
            </w:r>
            <w:r w:rsidRPr="00E66EF5">
              <w:rPr>
                <w:rFonts w:asciiTheme="minorHAnsi" w:hAnsiTheme="minorHAnsi" w:cstheme="minorHAnsi"/>
                <w:b/>
                <w:sz w:val="22"/>
                <w:szCs w:val="22"/>
              </w:rPr>
              <w:t xml:space="preserve"> </w:t>
            </w:r>
          </w:p>
          <w:p w14:paraId="12CF8A67" w14:textId="77777777" w:rsidR="00A90A64" w:rsidRPr="006D473D" w:rsidRDefault="00A90A64" w:rsidP="00A90A64">
            <w:pPr>
              <w:numPr>
                <w:ilvl w:val="0"/>
                <w:numId w:val="19"/>
              </w:numPr>
              <w:spacing w:line="300" w:lineRule="atLeast"/>
              <w:contextualSpacing/>
              <w:jc w:val="both"/>
              <w:rPr>
                <w:rFonts w:ascii="Calibri" w:hAnsi="Calibri" w:cs="Calibri"/>
                <w:b/>
                <w:sz w:val="22"/>
                <w:szCs w:val="22"/>
              </w:rPr>
            </w:pPr>
            <w:r w:rsidRPr="007A308D">
              <w:rPr>
                <w:rFonts w:ascii="Calibri" w:hAnsi="Calibri" w:cs="Calibri"/>
                <w:b/>
                <w:sz w:val="22"/>
                <w:szCs w:val="22"/>
              </w:rPr>
              <w:t xml:space="preserve">Nb d’années d’expérience </w:t>
            </w:r>
            <w:r>
              <w:rPr>
                <w:rFonts w:ascii="Calibri" w:hAnsi="Calibri" w:cs="Calibri"/>
                <w:b/>
                <w:sz w:val="22"/>
                <w:szCs w:val="22"/>
              </w:rPr>
              <w:t xml:space="preserve">pertinentes </w:t>
            </w:r>
            <w:r w:rsidRPr="007A308D">
              <w:rPr>
                <w:rFonts w:ascii="Calibri" w:hAnsi="Calibri" w:cs="Calibri"/>
                <w:b/>
                <w:sz w:val="22"/>
                <w:szCs w:val="22"/>
              </w:rPr>
              <w:t>du personnel en charge de la mission</w:t>
            </w:r>
          </w:p>
        </w:tc>
        <w:tc>
          <w:tcPr>
            <w:tcW w:w="2692" w:type="dxa"/>
          </w:tcPr>
          <w:p w14:paraId="3EFD52D5" w14:textId="77777777" w:rsidR="00A90A64" w:rsidRPr="00195EFC" w:rsidRDefault="00A90A64" w:rsidP="005D1C58">
            <w:pPr>
              <w:jc w:val="center"/>
              <w:rPr>
                <w:rFonts w:ascii="Calibri" w:hAnsi="Calibri" w:cs="Calibri"/>
                <w:b/>
                <w:sz w:val="22"/>
                <w:szCs w:val="22"/>
              </w:rPr>
            </w:pPr>
            <w:r w:rsidRPr="00195EFC">
              <w:rPr>
                <w:rFonts w:ascii="Calibri" w:hAnsi="Calibri" w:cs="Calibri"/>
                <w:b/>
                <w:sz w:val="22"/>
                <w:szCs w:val="22"/>
              </w:rPr>
              <w:t>10</w:t>
            </w:r>
          </w:p>
        </w:tc>
      </w:tr>
      <w:tr w:rsidR="00A90A64" w14:paraId="4BCE2B4A" w14:textId="77777777" w:rsidTr="005D1C58">
        <w:tc>
          <w:tcPr>
            <w:tcW w:w="6654" w:type="dxa"/>
          </w:tcPr>
          <w:p w14:paraId="4590A557" w14:textId="77777777" w:rsidR="00A90A64" w:rsidRPr="007A308D" w:rsidRDefault="00A90A64" w:rsidP="005D1C58">
            <w:pPr>
              <w:jc w:val="right"/>
              <w:rPr>
                <w:rFonts w:asciiTheme="minorHAnsi" w:hAnsiTheme="minorHAnsi" w:cstheme="minorHAnsi"/>
                <w:b/>
                <w:sz w:val="22"/>
                <w:szCs w:val="22"/>
              </w:rPr>
            </w:pPr>
            <w:r w:rsidRPr="007A308D">
              <w:rPr>
                <w:rFonts w:asciiTheme="minorHAnsi" w:hAnsiTheme="minorHAnsi" w:cstheme="minorHAnsi"/>
                <w:b/>
                <w:sz w:val="22"/>
                <w:szCs w:val="22"/>
              </w:rPr>
              <w:t>TOTAL</w:t>
            </w:r>
          </w:p>
        </w:tc>
        <w:tc>
          <w:tcPr>
            <w:tcW w:w="2692" w:type="dxa"/>
          </w:tcPr>
          <w:p w14:paraId="5923C1C9" w14:textId="77777777" w:rsidR="00A90A64" w:rsidRPr="00195EFC" w:rsidRDefault="00A90A64" w:rsidP="005D1C58">
            <w:pPr>
              <w:jc w:val="center"/>
              <w:rPr>
                <w:rFonts w:ascii="Calibri" w:hAnsi="Calibri" w:cs="Calibri"/>
                <w:b/>
                <w:sz w:val="22"/>
                <w:szCs w:val="22"/>
              </w:rPr>
            </w:pPr>
            <w:r w:rsidRPr="00195EFC">
              <w:rPr>
                <w:rFonts w:ascii="Calibri" w:hAnsi="Calibri" w:cs="Calibri"/>
                <w:b/>
                <w:sz w:val="22"/>
                <w:szCs w:val="22"/>
              </w:rPr>
              <w:t>70</w:t>
            </w:r>
          </w:p>
        </w:tc>
      </w:tr>
      <w:bookmarkEnd w:id="4"/>
    </w:tbl>
    <w:p w14:paraId="2B82E8AC" w14:textId="77777777" w:rsidR="00886AE6" w:rsidRPr="00E06801" w:rsidRDefault="00886AE6" w:rsidP="00886AE6">
      <w:pPr>
        <w:spacing w:after="0" w:line="240" w:lineRule="auto"/>
        <w:rPr>
          <w:rFonts w:asciiTheme="majorHAnsi" w:hAnsiTheme="majorHAnsi" w:cstheme="majorHAnsi"/>
        </w:rPr>
      </w:pPr>
    </w:p>
    <w:p w14:paraId="09C94838" w14:textId="77777777" w:rsidR="00CD624C" w:rsidRDefault="00CD624C">
      <w:pPr>
        <w:spacing w:after="0" w:line="240" w:lineRule="auto"/>
      </w:pPr>
    </w:p>
    <w:p w14:paraId="46447D17" w14:textId="77777777" w:rsidR="00C20F92" w:rsidRDefault="00B07E38">
      <w:pPr>
        <w:shd w:val="clear" w:color="auto" w:fill="D9E2F3"/>
        <w:rPr>
          <w:b/>
          <w:sz w:val="32"/>
          <w:szCs w:val="32"/>
        </w:rPr>
      </w:pPr>
      <w:r>
        <w:rPr>
          <w:b/>
          <w:sz w:val="32"/>
          <w:szCs w:val="32"/>
        </w:rPr>
        <w:t xml:space="preserve">Durée de la mission </w:t>
      </w:r>
    </w:p>
    <w:p w14:paraId="618ADEDD" w14:textId="77777777" w:rsidR="00195EFC" w:rsidRDefault="00195EFC" w:rsidP="00CD624C">
      <w:pPr>
        <w:spacing w:before="240" w:after="240"/>
        <w:jc w:val="both"/>
      </w:pPr>
      <w:r>
        <w:t xml:space="preserve">La charge de travail estimée est entre </w:t>
      </w:r>
      <w:r w:rsidRPr="00195EFC">
        <w:rPr>
          <w:b/>
          <w:bCs/>
        </w:rPr>
        <w:t>50 et 60 jours/h.</w:t>
      </w:r>
      <w:r>
        <w:t xml:space="preserve"> </w:t>
      </w:r>
    </w:p>
    <w:p w14:paraId="0A2F5E04" w14:textId="65CC1692" w:rsidR="00C20F92" w:rsidRDefault="00B07E38" w:rsidP="00CD624C">
      <w:pPr>
        <w:spacing w:before="240" w:after="240"/>
        <w:jc w:val="both"/>
      </w:pPr>
      <w:r>
        <w:t xml:space="preserve">La mission est prévue pour une </w:t>
      </w:r>
      <w:r>
        <w:rPr>
          <w:b/>
        </w:rPr>
        <w:t xml:space="preserve">durée maximale de </w:t>
      </w:r>
      <w:r w:rsidR="007D76AB">
        <w:rPr>
          <w:b/>
        </w:rPr>
        <w:t>8</w:t>
      </w:r>
      <w:r>
        <w:rPr>
          <w:b/>
        </w:rPr>
        <w:t xml:space="preserve"> mo</w:t>
      </w:r>
      <w:r w:rsidR="00CD624C">
        <w:rPr>
          <w:b/>
        </w:rPr>
        <w:t>is.</w:t>
      </w:r>
    </w:p>
    <w:sectPr w:rsidR="00C20F92">
      <w:headerReference w:type="default" r:id="rId8"/>
      <w:footerReference w:type="default" r:id="rId9"/>
      <w:headerReference w:type="first" r:id="rId10"/>
      <w:pgSz w:w="11906" w:h="16838"/>
      <w:pgMar w:top="1417" w:right="1417" w:bottom="173" w:left="1417"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596218" w14:textId="77777777" w:rsidR="008A051E" w:rsidRDefault="008A051E">
      <w:pPr>
        <w:spacing w:after="0" w:line="240" w:lineRule="auto"/>
      </w:pPr>
      <w:r>
        <w:separator/>
      </w:r>
    </w:p>
  </w:endnote>
  <w:endnote w:type="continuationSeparator" w:id="0">
    <w:p w14:paraId="4C9914C8" w14:textId="77777777" w:rsidR="008A051E" w:rsidRDefault="008A05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57323715-C15A-46D9-966A-CDEB8CC64B0B}"/>
    <w:embedBold r:id="rId2" w:fontKey="{4E53ACD1-57FD-4369-A4EA-F63D3C673916}"/>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3" w:fontKey="{8D7652AE-7640-465B-828C-AA2CF5634071}"/>
    <w:embedItalic r:id="rId4" w:fontKey="{9C45BA31-2B76-4832-8736-97E13B8BFC32}"/>
  </w:font>
  <w:font w:name="Times">
    <w:panose1 w:val="02020603050405020304"/>
    <w:charset w:val="00"/>
    <w:family w:val="roman"/>
    <w:pitch w:val="variable"/>
    <w:sig w:usb0="E0002EFF" w:usb1="C000785B" w:usb2="00000009" w:usb3="00000000" w:csb0="000001FF" w:csb1="00000000"/>
    <w:embedRegular r:id="rId5" w:fontKey="{E712843B-70D2-47AA-97FA-32FF58BB845C}"/>
    <w:embedBold r:id="rId6" w:fontKey="{B61BB623-DABE-4E6D-BD1F-EE302FC03679}"/>
  </w:font>
  <w:font w:name="Poppins">
    <w:charset w:val="00"/>
    <w:family w:val="auto"/>
    <w:pitch w:val="variable"/>
    <w:sig w:usb0="00008007" w:usb1="00000000" w:usb2="00000000" w:usb3="00000000" w:csb0="00000093" w:csb1="00000000"/>
    <w:embedRegular r:id="rId7" w:fontKey="{62558F1C-44CB-46C6-BDA0-B43D993217C3}"/>
    <w:embedBold r:id="rId8" w:fontKey="{66EE10BF-83C0-4806-B688-E0E012DD368D}"/>
  </w:font>
  <w:font w:name="Cambria">
    <w:panose1 w:val="02040503050406030204"/>
    <w:charset w:val="00"/>
    <w:family w:val="roman"/>
    <w:pitch w:val="variable"/>
    <w:sig w:usb0="E00006FF" w:usb1="420024FF" w:usb2="02000000" w:usb3="00000000" w:csb0="0000019F" w:csb1="00000000"/>
    <w:embedRegular r:id="rId9" w:fontKey="{0772F02C-0777-42D5-9EBB-5D3E6DC883BB}"/>
    <w:embedBold r:id="rId10" w:fontKey="{474AA85B-731F-4247-A2D0-A4ED67CE8939}"/>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FB36CA" w14:textId="77777777" w:rsidR="00C20F92" w:rsidRDefault="00B07E38">
    <w:pPr>
      <w:pBdr>
        <w:top w:val="nil"/>
        <w:left w:val="nil"/>
        <w:bottom w:val="nil"/>
        <w:right w:val="nil"/>
        <w:between w:val="nil"/>
      </w:pBdr>
      <w:tabs>
        <w:tab w:val="center" w:pos="4536"/>
        <w:tab w:val="right" w:pos="9072"/>
      </w:tabs>
      <w:spacing w:after="0" w:line="240" w:lineRule="auto"/>
      <w:jc w:val="right"/>
      <w:rPr>
        <w:color w:val="000000"/>
        <w:sz w:val="24"/>
        <w:szCs w:val="24"/>
      </w:rPr>
    </w:pPr>
    <w:r>
      <w:rPr>
        <w:color w:val="000000"/>
        <w:sz w:val="24"/>
        <w:szCs w:val="24"/>
      </w:rPr>
      <w:fldChar w:fldCharType="begin"/>
    </w:r>
    <w:r>
      <w:rPr>
        <w:color w:val="000000"/>
        <w:sz w:val="24"/>
        <w:szCs w:val="24"/>
      </w:rPr>
      <w:instrText>PAGE</w:instrText>
    </w:r>
    <w:r>
      <w:rPr>
        <w:color w:val="000000"/>
        <w:sz w:val="24"/>
        <w:szCs w:val="24"/>
      </w:rPr>
      <w:fldChar w:fldCharType="separate"/>
    </w:r>
    <w:r w:rsidR="00C97092">
      <w:rPr>
        <w:noProof/>
        <w:color w:val="000000"/>
        <w:sz w:val="24"/>
        <w:szCs w:val="24"/>
      </w:rPr>
      <w:t>2</w:t>
    </w:r>
    <w:r>
      <w:rPr>
        <w:color w:val="000000"/>
        <w:sz w:val="24"/>
        <w:szCs w:val="24"/>
      </w:rPr>
      <w:fldChar w:fldCharType="end"/>
    </w:r>
  </w:p>
  <w:p w14:paraId="0271BF06" w14:textId="77777777" w:rsidR="00C20F92" w:rsidRDefault="00C20F92">
    <w:pPr>
      <w:pBdr>
        <w:top w:val="nil"/>
        <w:left w:val="nil"/>
        <w:bottom w:val="nil"/>
        <w:right w:val="nil"/>
        <w:between w:val="nil"/>
      </w:pBdr>
      <w:tabs>
        <w:tab w:val="center" w:pos="4536"/>
        <w:tab w:val="right" w:pos="9072"/>
      </w:tabs>
      <w:spacing w:after="0" w:line="240" w:lineRule="auto"/>
      <w:rPr>
        <w:color w:val="000000"/>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E4F39D" w14:textId="77777777" w:rsidR="008A051E" w:rsidRDefault="008A051E">
      <w:pPr>
        <w:spacing w:after="0" w:line="240" w:lineRule="auto"/>
      </w:pPr>
      <w:r>
        <w:separator/>
      </w:r>
    </w:p>
  </w:footnote>
  <w:footnote w:type="continuationSeparator" w:id="0">
    <w:p w14:paraId="446CCFEA" w14:textId="77777777" w:rsidR="008A051E" w:rsidRDefault="008A051E">
      <w:pPr>
        <w:spacing w:after="0" w:line="240" w:lineRule="auto"/>
      </w:pPr>
      <w:r>
        <w:continuationSeparator/>
      </w:r>
    </w:p>
  </w:footnote>
  <w:footnote w:id="1">
    <w:p w14:paraId="3A63A4B3" w14:textId="77777777" w:rsidR="00C20F92" w:rsidRDefault="00B07E38">
      <w:pPr>
        <w:spacing w:after="0" w:line="240" w:lineRule="auto"/>
        <w:rPr>
          <w:sz w:val="20"/>
          <w:szCs w:val="20"/>
        </w:rPr>
      </w:pPr>
      <w:r>
        <w:rPr>
          <w:vertAlign w:val="superscript"/>
        </w:rPr>
        <w:footnoteRef/>
      </w:r>
      <w:r>
        <w:rPr>
          <w:sz w:val="20"/>
          <w:szCs w:val="20"/>
        </w:rPr>
        <w:t xml:space="preserve"> 1 voyage = 1 personne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82D659" w14:textId="77777777" w:rsidR="00C20F92" w:rsidRDefault="00C20F9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F62101" w14:textId="77777777" w:rsidR="00C20F92" w:rsidRDefault="00B07E38">
    <w:pPr>
      <w:tabs>
        <w:tab w:val="right" w:pos="9780"/>
      </w:tabs>
      <w:spacing w:after="120" w:line="276" w:lineRule="auto"/>
      <w:jc w:val="center"/>
      <w:rPr>
        <w:rFonts w:ascii="Arial" w:eastAsia="Arial" w:hAnsi="Arial" w:cs="Arial"/>
        <w:color w:val="44546A"/>
      </w:rPr>
    </w:pPr>
    <w:r>
      <w:rPr>
        <w:rFonts w:ascii="Arial" w:eastAsia="Arial" w:hAnsi="Arial" w:cs="Arial"/>
        <w:color w:val="44546A"/>
      </w:rPr>
      <w:t>Promotion de l’économie numérique et des usages du numérique pour tous au Sénégal</w:t>
    </w:r>
    <w:r>
      <w:rPr>
        <w:rFonts w:ascii="Arial" w:eastAsia="Arial" w:hAnsi="Arial" w:cs="Arial"/>
        <w:b/>
        <w:noProof/>
        <w:color w:val="44546A"/>
        <w:sz w:val="20"/>
        <w:szCs w:val="20"/>
      </w:rPr>
      <w:drawing>
        <wp:inline distT="0" distB="0" distL="0" distR="0" wp14:anchorId="0BC004C6" wp14:editId="6083C684">
          <wp:extent cx="1076269" cy="551066"/>
          <wp:effectExtent l="0" t="0" r="0" b="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1076269" cy="551066"/>
                  </a:xfrm>
                  <a:prstGeom prst="rect">
                    <a:avLst/>
                  </a:prstGeom>
                  <a:ln/>
                </pic:spPr>
              </pic:pic>
            </a:graphicData>
          </a:graphic>
        </wp:inline>
      </w:drawing>
    </w:r>
  </w:p>
  <w:p w14:paraId="2F5D1196" w14:textId="77777777" w:rsidR="00C20F92" w:rsidRDefault="00C20F92">
    <w:pPr>
      <w:pBdr>
        <w:top w:val="nil"/>
        <w:left w:val="nil"/>
        <w:bottom w:val="nil"/>
        <w:right w:val="nil"/>
        <w:between w:val="nil"/>
      </w:pBdr>
      <w:tabs>
        <w:tab w:val="center" w:pos="4536"/>
        <w:tab w:val="right" w:pos="9072"/>
      </w:tabs>
      <w:spacing w:after="0" w:line="240" w:lineRule="auto"/>
      <w:rPr>
        <w:color w:val="000000"/>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F929E8"/>
    <w:multiLevelType w:val="multilevel"/>
    <w:tmpl w:val="E4844AF2"/>
    <w:lvl w:ilvl="0">
      <w:start w:val="1"/>
      <w:numFmt w:val="bullet"/>
      <w:lvlText w:val="❖"/>
      <w:lvlJc w:val="left"/>
      <w:pPr>
        <w:ind w:left="770" w:hanging="360"/>
      </w:pPr>
      <w:rPr>
        <w:rFonts w:ascii="Noto Sans Symbols" w:eastAsia="Noto Sans Symbols" w:hAnsi="Noto Sans Symbols" w:cs="Noto Sans Symbols"/>
        <w:color w:val="FFC000"/>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1" w15:restartNumberingAfterBreak="0">
    <w:nsid w:val="0CF67CD9"/>
    <w:multiLevelType w:val="multilevel"/>
    <w:tmpl w:val="B22CBD52"/>
    <w:lvl w:ilvl="0">
      <w:start w:val="1"/>
      <w:numFmt w:val="bullet"/>
      <w:lvlText w:val="❖"/>
      <w:lvlJc w:val="left"/>
      <w:pPr>
        <w:ind w:left="720" w:hanging="360"/>
      </w:pPr>
      <w:rPr>
        <w:rFonts w:ascii="Noto Sans Symbols" w:eastAsia="Noto Sans Symbols" w:hAnsi="Noto Sans Symbols" w:cs="Noto Sans Symbols"/>
        <w:color w:val="FFC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18D4D79"/>
    <w:multiLevelType w:val="hybridMultilevel"/>
    <w:tmpl w:val="AE4E7C50"/>
    <w:lvl w:ilvl="0" w:tplc="040C0001">
      <w:start w:val="1"/>
      <w:numFmt w:val="bullet"/>
      <w:lvlText w:val=""/>
      <w:lvlJc w:val="left"/>
      <w:pPr>
        <w:ind w:left="1480" w:hanging="360"/>
      </w:pPr>
      <w:rPr>
        <w:rFonts w:ascii="Symbol" w:hAnsi="Symbol" w:hint="default"/>
      </w:rPr>
    </w:lvl>
    <w:lvl w:ilvl="1" w:tplc="040C0003" w:tentative="1">
      <w:start w:val="1"/>
      <w:numFmt w:val="bullet"/>
      <w:lvlText w:val="o"/>
      <w:lvlJc w:val="left"/>
      <w:pPr>
        <w:ind w:left="2200" w:hanging="360"/>
      </w:pPr>
      <w:rPr>
        <w:rFonts w:ascii="Courier New" w:hAnsi="Courier New" w:cs="Courier New" w:hint="default"/>
      </w:rPr>
    </w:lvl>
    <w:lvl w:ilvl="2" w:tplc="040C0005" w:tentative="1">
      <w:start w:val="1"/>
      <w:numFmt w:val="bullet"/>
      <w:lvlText w:val=""/>
      <w:lvlJc w:val="left"/>
      <w:pPr>
        <w:ind w:left="2920" w:hanging="360"/>
      </w:pPr>
      <w:rPr>
        <w:rFonts w:ascii="Wingdings" w:hAnsi="Wingdings" w:hint="default"/>
      </w:rPr>
    </w:lvl>
    <w:lvl w:ilvl="3" w:tplc="040C0001" w:tentative="1">
      <w:start w:val="1"/>
      <w:numFmt w:val="bullet"/>
      <w:lvlText w:val=""/>
      <w:lvlJc w:val="left"/>
      <w:pPr>
        <w:ind w:left="3640" w:hanging="360"/>
      </w:pPr>
      <w:rPr>
        <w:rFonts w:ascii="Symbol" w:hAnsi="Symbol" w:hint="default"/>
      </w:rPr>
    </w:lvl>
    <w:lvl w:ilvl="4" w:tplc="040C0003" w:tentative="1">
      <w:start w:val="1"/>
      <w:numFmt w:val="bullet"/>
      <w:lvlText w:val="o"/>
      <w:lvlJc w:val="left"/>
      <w:pPr>
        <w:ind w:left="4360" w:hanging="360"/>
      </w:pPr>
      <w:rPr>
        <w:rFonts w:ascii="Courier New" w:hAnsi="Courier New" w:cs="Courier New" w:hint="default"/>
      </w:rPr>
    </w:lvl>
    <w:lvl w:ilvl="5" w:tplc="040C0005" w:tentative="1">
      <w:start w:val="1"/>
      <w:numFmt w:val="bullet"/>
      <w:lvlText w:val=""/>
      <w:lvlJc w:val="left"/>
      <w:pPr>
        <w:ind w:left="5080" w:hanging="360"/>
      </w:pPr>
      <w:rPr>
        <w:rFonts w:ascii="Wingdings" w:hAnsi="Wingdings" w:hint="default"/>
      </w:rPr>
    </w:lvl>
    <w:lvl w:ilvl="6" w:tplc="040C0001" w:tentative="1">
      <w:start w:val="1"/>
      <w:numFmt w:val="bullet"/>
      <w:lvlText w:val=""/>
      <w:lvlJc w:val="left"/>
      <w:pPr>
        <w:ind w:left="5800" w:hanging="360"/>
      </w:pPr>
      <w:rPr>
        <w:rFonts w:ascii="Symbol" w:hAnsi="Symbol" w:hint="default"/>
      </w:rPr>
    </w:lvl>
    <w:lvl w:ilvl="7" w:tplc="040C0003" w:tentative="1">
      <w:start w:val="1"/>
      <w:numFmt w:val="bullet"/>
      <w:lvlText w:val="o"/>
      <w:lvlJc w:val="left"/>
      <w:pPr>
        <w:ind w:left="6520" w:hanging="360"/>
      </w:pPr>
      <w:rPr>
        <w:rFonts w:ascii="Courier New" w:hAnsi="Courier New" w:cs="Courier New" w:hint="default"/>
      </w:rPr>
    </w:lvl>
    <w:lvl w:ilvl="8" w:tplc="040C0005" w:tentative="1">
      <w:start w:val="1"/>
      <w:numFmt w:val="bullet"/>
      <w:lvlText w:val=""/>
      <w:lvlJc w:val="left"/>
      <w:pPr>
        <w:ind w:left="7240" w:hanging="360"/>
      </w:pPr>
      <w:rPr>
        <w:rFonts w:ascii="Wingdings" w:hAnsi="Wingdings" w:hint="default"/>
      </w:rPr>
    </w:lvl>
  </w:abstractNum>
  <w:abstractNum w:abstractNumId="3" w15:restartNumberingAfterBreak="0">
    <w:nsid w:val="24D06915"/>
    <w:multiLevelType w:val="multilevel"/>
    <w:tmpl w:val="1A904F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3AD134F8"/>
    <w:multiLevelType w:val="multilevel"/>
    <w:tmpl w:val="A47A6B66"/>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rPr>
        <w:rFonts w:asciiTheme="majorHAnsi" w:hAnsiTheme="majorHAnsi" w:cstheme="majorHAnsi" w:hint="default"/>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15:restartNumberingAfterBreak="0">
    <w:nsid w:val="44BD4226"/>
    <w:multiLevelType w:val="hybridMultilevel"/>
    <w:tmpl w:val="5456D87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513C3202"/>
    <w:multiLevelType w:val="multilevel"/>
    <w:tmpl w:val="64CE90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38A1002"/>
    <w:multiLevelType w:val="multilevel"/>
    <w:tmpl w:val="C3AAC3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5AEB3673"/>
    <w:multiLevelType w:val="multilevel"/>
    <w:tmpl w:val="1D882A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C8D4BE7"/>
    <w:multiLevelType w:val="multilevel"/>
    <w:tmpl w:val="A47A6B66"/>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rPr>
        <w:rFonts w:asciiTheme="majorHAnsi" w:hAnsiTheme="majorHAnsi" w:cstheme="majorHAnsi" w:hint="default"/>
      </w:r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1" w15:restartNumberingAfterBreak="0">
    <w:nsid w:val="64DC28CE"/>
    <w:multiLevelType w:val="multilevel"/>
    <w:tmpl w:val="55C268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667C7BD8"/>
    <w:multiLevelType w:val="multilevel"/>
    <w:tmpl w:val="D1261B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844454C"/>
    <w:multiLevelType w:val="multilevel"/>
    <w:tmpl w:val="5CC448CC"/>
    <w:lvl w:ilvl="0">
      <w:start w:val="1"/>
      <w:numFmt w:val="bullet"/>
      <w:lvlText w:val="❖"/>
      <w:lvlJc w:val="left"/>
      <w:pPr>
        <w:ind w:left="720" w:hanging="360"/>
      </w:pPr>
      <w:rPr>
        <w:rFonts w:ascii="Noto Sans Symbols" w:eastAsia="Noto Sans Symbols" w:hAnsi="Noto Sans Symbols" w:cs="Noto Sans Symbols"/>
        <w:color w:val="FFC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685544DF"/>
    <w:multiLevelType w:val="multilevel"/>
    <w:tmpl w:val="AE881E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69F361FF"/>
    <w:multiLevelType w:val="multilevel"/>
    <w:tmpl w:val="67022A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6B9C0D83"/>
    <w:multiLevelType w:val="multilevel"/>
    <w:tmpl w:val="0A6665F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724628D3"/>
    <w:multiLevelType w:val="hybridMultilevel"/>
    <w:tmpl w:val="A5E83F2C"/>
    <w:lvl w:ilvl="0" w:tplc="040C0001">
      <w:start w:val="1"/>
      <w:numFmt w:val="bullet"/>
      <w:lvlText w:val=""/>
      <w:lvlJc w:val="left"/>
      <w:pPr>
        <w:ind w:left="1222" w:hanging="360"/>
      </w:pPr>
      <w:rPr>
        <w:rFonts w:ascii="Symbol" w:hAnsi="Symbol" w:hint="default"/>
      </w:rPr>
    </w:lvl>
    <w:lvl w:ilvl="1" w:tplc="040C0003">
      <w:start w:val="1"/>
      <w:numFmt w:val="bullet"/>
      <w:lvlText w:val="o"/>
      <w:lvlJc w:val="left"/>
      <w:pPr>
        <w:ind w:left="1942" w:hanging="360"/>
      </w:pPr>
      <w:rPr>
        <w:rFonts w:ascii="Courier New" w:hAnsi="Courier New" w:cs="Courier New" w:hint="default"/>
      </w:rPr>
    </w:lvl>
    <w:lvl w:ilvl="2" w:tplc="040C0005" w:tentative="1">
      <w:start w:val="1"/>
      <w:numFmt w:val="bullet"/>
      <w:lvlText w:val=""/>
      <w:lvlJc w:val="left"/>
      <w:pPr>
        <w:ind w:left="2662" w:hanging="360"/>
      </w:pPr>
      <w:rPr>
        <w:rFonts w:ascii="Wingdings" w:hAnsi="Wingdings" w:hint="default"/>
      </w:rPr>
    </w:lvl>
    <w:lvl w:ilvl="3" w:tplc="040C0001" w:tentative="1">
      <w:start w:val="1"/>
      <w:numFmt w:val="bullet"/>
      <w:lvlText w:val=""/>
      <w:lvlJc w:val="left"/>
      <w:pPr>
        <w:ind w:left="3382" w:hanging="360"/>
      </w:pPr>
      <w:rPr>
        <w:rFonts w:ascii="Symbol" w:hAnsi="Symbol" w:hint="default"/>
      </w:rPr>
    </w:lvl>
    <w:lvl w:ilvl="4" w:tplc="040C0003" w:tentative="1">
      <w:start w:val="1"/>
      <w:numFmt w:val="bullet"/>
      <w:lvlText w:val="o"/>
      <w:lvlJc w:val="left"/>
      <w:pPr>
        <w:ind w:left="4102" w:hanging="360"/>
      </w:pPr>
      <w:rPr>
        <w:rFonts w:ascii="Courier New" w:hAnsi="Courier New" w:cs="Courier New" w:hint="default"/>
      </w:rPr>
    </w:lvl>
    <w:lvl w:ilvl="5" w:tplc="040C0005" w:tentative="1">
      <w:start w:val="1"/>
      <w:numFmt w:val="bullet"/>
      <w:lvlText w:val=""/>
      <w:lvlJc w:val="left"/>
      <w:pPr>
        <w:ind w:left="4822" w:hanging="360"/>
      </w:pPr>
      <w:rPr>
        <w:rFonts w:ascii="Wingdings" w:hAnsi="Wingdings" w:hint="default"/>
      </w:rPr>
    </w:lvl>
    <w:lvl w:ilvl="6" w:tplc="040C0001" w:tentative="1">
      <w:start w:val="1"/>
      <w:numFmt w:val="bullet"/>
      <w:lvlText w:val=""/>
      <w:lvlJc w:val="left"/>
      <w:pPr>
        <w:ind w:left="5542" w:hanging="360"/>
      </w:pPr>
      <w:rPr>
        <w:rFonts w:ascii="Symbol" w:hAnsi="Symbol" w:hint="default"/>
      </w:rPr>
    </w:lvl>
    <w:lvl w:ilvl="7" w:tplc="040C0003" w:tentative="1">
      <w:start w:val="1"/>
      <w:numFmt w:val="bullet"/>
      <w:lvlText w:val="o"/>
      <w:lvlJc w:val="left"/>
      <w:pPr>
        <w:ind w:left="6262" w:hanging="360"/>
      </w:pPr>
      <w:rPr>
        <w:rFonts w:ascii="Courier New" w:hAnsi="Courier New" w:cs="Courier New" w:hint="default"/>
      </w:rPr>
    </w:lvl>
    <w:lvl w:ilvl="8" w:tplc="040C0005" w:tentative="1">
      <w:start w:val="1"/>
      <w:numFmt w:val="bullet"/>
      <w:lvlText w:val=""/>
      <w:lvlJc w:val="left"/>
      <w:pPr>
        <w:ind w:left="6982" w:hanging="360"/>
      </w:pPr>
      <w:rPr>
        <w:rFonts w:ascii="Wingdings" w:hAnsi="Wingdings" w:hint="default"/>
      </w:rPr>
    </w:lvl>
  </w:abstractNum>
  <w:abstractNum w:abstractNumId="18" w15:restartNumberingAfterBreak="0">
    <w:nsid w:val="7FE2482F"/>
    <w:multiLevelType w:val="hybridMultilevel"/>
    <w:tmpl w:val="10003CFA"/>
    <w:lvl w:ilvl="0" w:tplc="300C0001">
      <w:start w:val="1"/>
      <w:numFmt w:val="bullet"/>
      <w:lvlText w:val=""/>
      <w:lvlJc w:val="left"/>
      <w:pPr>
        <w:ind w:left="720" w:hanging="360"/>
      </w:pPr>
      <w:rPr>
        <w:rFonts w:ascii="Symbol" w:hAnsi="Symbol" w:hint="default"/>
      </w:rPr>
    </w:lvl>
    <w:lvl w:ilvl="1" w:tplc="300C0003" w:tentative="1">
      <w:start w:val="1"/>
      <w:numFmt w:val="bullet"/>
      <w:lvlText w:val="o"/>
      <w:lvlJc w:val="left"/>
      <w:pPr>
        <w:ind w:left="1440" w:hanging="360"/>
      </w:pPr>
      <w:rPr>
        <w:rFonts w:ascii="Courier New" w:hAnsi="Courier New" w:cs="Courier New" w:hint="default"/>
      </w:rPr>
    </w:lvl>
    <w:lvl w:ilvl="2" w:tplc="300C0005" w:tentative="1">
      <w:start w:val="1"/>
      <w:numFmt w:val="bullet"/>
      <w:lvlText w:val=""/>
      <w:lvlJc w:val="left"/>
      <w:pPr>
        <w:ind w:left="2160" w:hanging="360"/>
      </w:pPr>
      <w:rPr>
        <w:rFonts w:ascii="Wingdings" w:hAnsi="Wingdings" w:hint="default"/>
      </w:rPr>
    </w:lvl>
    <w:lvl w:ilvl="3" w:tplc="300C0001" w:tentative="1">
      <w:start w:val="1"/>
      <w:numFmt w:val="bullet"/>
      <w:lvlText w:val=""/>
      <w:lvlJc w:val="left"/>
      <w:pPr>
        <w:ind w:left="2880" w:hanging="360"/>
      </w:pPr>
      <w:rPr>
        <w:rFonts w:ascii="Symbol" w:hAnsi="Symbol" w:hint="default"/>
      </w:rPr>
    </w:lvl>
    <w:lvl w:ilvl="4" w:tplc="300C0003" w:tentative="1">
      <w:start w:val="1"/>
      <w:numFmt w:val="bullet"/>
      <w:lvlText w:val="o"/>
      <w:lvlJc w:val="left"/>
      <w:pPr>
        <w:ind w:left="3600" w:hanging="360"/>
      </w:pPr>
      <w:rPr>
        <w:rFonts w:ascii="Courier New" w:hAnsi="Courier New" w:cs="Courier New" w:hint="default"/>
      </w:rPr>
    </w:lvl>
    <w:lvl w:ilvl="5" w:tplc="300C0005" w:tentative="1">
      <w:start w:val="1"/>
      <w:numFmt w:val="bullet"/>
      <w:lvlText w:val=""/>
      <w:lvlJc w:val="left"/>
      <w:pPr>
        <w:ind w:left="4320" w:hanging="360"/>
      </w:pPr>
      <w:rPr>
        <w:rFonts w:ascii="Wingdings" w:hAnsi="Wingdings" w:hint="default"/>
      </w:rPr>
    </w:lvl>
    <w:lvl w:ilvl="6" w:tplc="300C0001" w:tentative="1">
      <w:start w:val="1"/>
      <w:numFmt w:val="bullet"/>
      <w:lvlText w:val=""/>
      <w:lvlJc w:val="left"/>
      <w:pPr>
        <w:ind w:left="5040" w:hanging="360"/>
      </w:pPr>
      <w:rPr>
        <w:rFonts w:ascii="Symbol" w:hAnsi="Symbol" w:hint="default"/>
      </w:rPr>
    </w:lvl>
    <w:lvl w:ilvl="7" w:tplc="300C0003" w:tentative="1">
      <w:start w:val="1"/>
      <w:numFmt w:val="bullet"/>
      <w:lvlText w:val="o"/>
      <w:lvlJc w:val="left"/>
      <w:pPr>
        <w:ind w:left="5760" w:hanging="360"/>
      </w:pPr>
      <w:rPr>
        <w:rFonts w:ascii="Courier New" w:hAnsi="Courier New" w:cs="Courier New" w:hint="default"/>
      </w:rPr>
    </w:lvl>
    <w:lvl w:ilvl="8" w:tplc="300C0005" w:tentative="1">
      <w:start w:val="1"/>
      <w:numFmt w:val="bullet"/>
      <w:lvlText w:val=""/>
      <w:lvlJc w:val="left"/>
      <w:pPr>
        <w:ind w:left="6480" w:hanging="360"/>
      </w:pPr>
      <w:rPr>
        <w:rFonts w:ascii="Wingdings" w:hAnsi="Wingdings" w:hint="default"/>
      </w:rPr>
    </w:lvl>
  </w:abstractNum>
  <w:num w:numId="1" w16cid:durableId="1142574071">
    <w:abstractNumId w:val="11"/>
  </w:num>
  <w:num w:numId="2" w16cid:durableId="1807160248">
    <w:abstractNumId w:val="14"/>
  </w:num>
  <w:num w:numId="3" w16cid:durableId="453182700">
    <w:abstractNumId w:val="5"/>
  </w:num>
  <w:num w:numId="4" w16cid:durableId="65498895">
    <w:abstractNumId w:val="16"/>
  </w:num>
  <w:num w:numId="5" w16cid:durableId="1952859274">
    <w:abstractNumId w:val="0"/>
  </w:num>
  <w:num w:numId="6" w16cid:durableId="812412663">
    <w:abstractNumId w:val="1"/>
  </w:num>
  <w:num w:numId="7" w16cid:durableId="2087990174">
    <w:abstractNumId w:val="13"/>
  </w:num>
  <w:num w:numId="8" w16cid:durableId="1271162705">
    <w:abstractNumId w:val="9"/>
  </w:num>
  <w:num w:numId="9" w16cid:durableId="746271398">
    <w:abstractNumId w:val="3"/>
  </w:num>
  <w:num w:numId="10" w16cid:durableId="92435094">
    <w:abstractNumId w:val="7"/>
  </w:num>
  <w:num w:numId="11" w16cid:durableId="1944485542">
    <w:abstractNumId w:val="12"/>
  </w:num>
  <w:num w:numId="12" w16cid:durableId="1704477474">
    <w:abstractNumId w:val="15"/>
  </w:num>
  <w:num w:numId="13" w16cid:durableId="1926840507">
    <w:abstractNumId w:val="18"/>
  </w:num>
  <w:num w:numId="14" w16cid:durableId="1958368076">
    <w:abstractNumId w:val="8"/>
  </w:num>
  <w:num w:numId="15" w16cid:durableId="949749950">
    <w:abstractNumId w:val="17"/>
  </w:num>
  <w:num w:numId="16" w16cid:durableId="1211842677">
    <w:abstractNumId w:val="2"/>
  </w:num>
  <w:num w:numId="17" w16cid:durableId="820653549">
    <w:abstractNumId w:val="6"/>
  </w:num>
  <w:num w:numId="18" w16cid:durableId="665090027">
    <w:abstractNumId w:val="10"/>
  </w:num>
  <w:num w:numId="19" w16cid:durableId="207481460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0F92"/>
    <w:rsid w:val="00047A22"/>
    <w:rsid w:val="000F1E43"/>
    <w:rsid w:val="00132212"/>
    <w:rsid w:val="00133107"/>
    <w:rsid w:val="00143DED"/>
    <w:rsid w:val="001624A8"/>
    <w:rsid w:val="00195EFC"/>
    <w:rsid w:val="001C440E"/>
    <w:rsid w:val="00240158"/>
    <w:rsid w:val="00332016"/>
    <w:rsid w:val="003B3E2D"/>
    <w:rsid w:val="003D5E69"/>
    <w:rsid w:val="004E675E"/>
    <w:rsid w:val="005813B0"/>
    <w:rsid w:val="00592E05"/>
    <w:rsid w:val="006A3912"/>
    <w:rsid w:val="006A4EC6"/>
    <w:rsid w:val="006A6DC5"/>
    <w:rsid w:val="006F3E63"/>
    <w:rsid w:val="007872ED"/>
    <w:rsid w:val="007D76AB"/>
    <w:rsid w:val="008057AA"/>
    <w:rsid w:val="008449F3"/>
    <w:rsid w:val="008616CE"/>
    <w:rsid w:val="00886AE6"/>
    <w:rsid w:val="008A051E"/>
    <w:rsid w:val="008A2BC5"/>
    <w:rsid w:val="009F69FC"/>
    <w:rsid w:val="00A90A64"/>
    <w:rsid w:val="00AE683F"/>
    <w:rsid w:val="00B07E38"/>
    <w:rsid w:val="00B96718"/>
    <w:rsid w:val="00BC58BD"/>
    <w:rsid w:val="00C20F92"/>
    <w:rsid w:val="00C97092"/>
    <w:rsid w:val="00CD624C"/>
    <w:rsid w:val="00D10B6C"/>
    <w:rsid w:val="00E12B00"/>
    <w:rsid w:val="00EE614F"/>
    <w:rsid w:val="00F15C76"/>
    <w:rsid w:val="00FA7761"/>
    <w:rsid w:val="00FC512C"/>
    <w:rsid w:val="00FE0531"/>
  </w:rsids>
  <m:mathPr>
    <m:mathFont m:val="Cambria Math"/>
    <m:brkBin m:val="before"/>
    <m:brkBinSub m:val="--"/>
    <m:smallFrac m:val="0"/>
    <m:dispDef/>
    <m:lMargin m:val="0"/>
    <m:rMargin m:val="0"/>
    <m:defJc m:val="centerGroup"/>
    <m:wrapIndent m:val="1440"/>
    <m:intLim m:val="subSup"/>
    <m:naryLim m:val="undOvr"/>
  </m:mathPr>
  <w:themeFontLang w:val="fr-C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F20B23"/>
  <w15:docId w15:val="{04268F7A-8D64-4FBA-A84F-6A912810D7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CI" w:eastAsia="fr-C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240" w:after="0"/>
      <w:outlineLvl w:val="0"/>
    </w:pPr>
    <w:rPr>
      <w:color w:val="2E75B5"/>
      <w:sz w:val="32"/>
      <w:szCs w:val="32"/>
    </w:rPr>
  </w:style>
  <w:style w:type="paragraph" w:styleId="Titre2">
    <w:name w:val="heading 2"/>
    <w:basedOn w:val="Normal"/>
    <w:next w:val="Normal"/>
    <w:uiPriority w:val="9"/>
    <w:unhideWhenUsed/>
    <w:qFormat/>
    <w:pPr>
      <w:keepNext/>
      <w:keepLines/>
      <w:spacing w:before="40" w:after="0"/>
      <w:outlineLvl w:val="1"/>
    </w:pPr>
    <w:rPr>
      <w:color w:val="2E75B5"/>
      <w:sz w:val="26"/>
      <w:szCs w:val="26"/>
    </w:rPr>
  </w:style>
  <w:style w:type="paragraph" w:styleId="Titre3">
    <w:name w:val="heading 3"/>
    <w:basedOn w:val="Normal"/>
    <w:next w:val="Normal"/>
    <w:uiPriority w:val="9"/>
    <w:unhideWhenUsed/>
    <w:qFormat/>
    <w:pPr>
      <w:keepNext/>
      <w:keepLines/>
      <w:spacing w:before="40" w:after="0"/>
      <w:outlineLvl w:val="2"/>
    </w:pPr>
    <w:rPr>
      <w:color w:val="1E4D78"/>
      <w:sz w:val="24"/>
      <w:szCs w:val="24"/>
    </w:rPr>
  </w:style>
  <w:style w:type="paragraph" w:styleId="Titre4">
    <w:name w:val="heading 4"/>
    <w:basedOn w:val="Normal"/>
    <w:next w:val="Normal"/>
    <w:uiPriority w:val="9"/>
    <w:unhideWhenUsed/>
    <w:qFormat/>
    <w:pPr>
      <w:spacing w:line="240" w:lineRule="auto"/>
      <w:outlineLvl w:val="3"/>
    </w:pPr>
    <w:rPr>
      <w:rFonts w:ascii="Times New Roman" w:eastAsia="Times New Roman" w:hAnsi="Times New Roman" w:cs="Times New Roman"/>
      <w:b/>
      <w:sz w:val="24"/>
      <w:szCs w:val="24"/>
    </w:rPr>
  </w:style>
  <w:style w:type="paragraph" w:styleId="Titre5">
    <w:name w:val="heading 5"/>
    <w:basedOn w:val="Normal"/>
    <w:next w:val="Normal"/>
    <w:uiPriority w:val="9"/>
    <w:semiHidden/>
    <w:unhideWhenUsed/>
    <w:qFormat/>
    <w:pPr>
      <w:keepNext/>
      <w:keepLines/>
      <w:spacing w:before="220" w:after="40"/>
      <w:outlineLvl w:val="4"/>
    </w:pPr>
    <w:rPr>
      <w:b/>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before="480" w:after="120"/>
    </w:pPr>
    <w:rPr>
      <w:b/>
      <w:sz w:val="72"/>
      <w:szCs w:val="72"/>
    </w:r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8">
    <w:name w:val="8"/>
    <w:basedOn w:val="TableNormal"/>
    <w:pPr>
      <w:spacing w:after="0" w:line="240" w:lineRule="auto"/>
    </w:pPr>
    <w:tblPr>
      <w:tblStyleRowBandSize w:val="1"/>
      <w:tblStyleColBandSize w:val="1"/>
      <w:tblCellMar>
        <w:left w:w="108" w:type="dxa"/>
        <w:right w:w="108" w:type="dxa"/>
      </w:tblCellMar>
    </w:tblPr>
  </w:style>
  <w:style w:type="table" w:customStyle="1" w:styleId="7">
    <w:name w:val="7"/>
    <w:basedOn w:val="TableNormal"/>
    <w:pPr>
      <w:spacing w:after="0" w:line="240" w:lineRule="auto"/>
    </w:pPr>
    <w:tblPr>
      <w:tblStyleRowBandSize w:val="1"/>
      <w:tblStyleColBandSize w:val="1"/>
      <w:tblCellMar>
        <w:left w:w="108" w:type="dxa"/>
        <w:right w:w="108" w:type="dxa"/>
      </w:tblCellMar>
    </w:tblPr>
  </w:style>
  <w:style w:type="table" w:customStyle="1" w:styleId="6">
    <w:name w:val="6"/>
    <w:basedOn w:val="TableNormal"/>
    <w:pPr>
      <w:spacing w:after="0" w:line="240" w:lineRule="auto"/>
    </w:pPr>
    <w:tblPr>
      <w:tblStyleRowBandSize w:val="1"/>
      <w:tblStyleColBandSize w:val="1"/>
      <w:tblCellMar>
        <w:left w:w="108" w:type="dxa"/>
        <w:right w:w="108" w:type="dxa"/>
      </w:tblCellMar>
    </w:tblPr>
  </w:style>
  <w:style w:type="table" w:customStyle="1" w:styleId="5">
    <w:name w:val="5"/>
    <w:basedOn w:val="TableNormal"/>
    <w:pPr>
      <w:spacing w:after="0" w:line="240" w:lineRule="auto"/>
    </w:pPr>
    <w:tblPr>
      <w:tblStyleRowBandSize w:val="1"/>
      <w:tblStyleColBandSize w:val="1"/>
      <w:tblCellMar>
        <w:left w:w="108" w:type="dxa"/>
        <w:right w:w="108" w:type="dxa"/>
      </w:tblCellMar>
    </w:tblPr>
  </w:style>
  <w:style w:type="table" w:customStyle="1" w:styleId="4">
    <w:name w:val="4"/>
    <w:basedOn w:val="TableNormal"/>
    <w:pPr>
      <w:spacing w:after="0" w:line="240" w:lineRule="auto"/>
    </w:pPr>
    <w:tblPr>
      <w:tblStyleRowBandSize w:val="1"/>
      <w:tblStyleColBandSize w:val="1"/>
      <w:tblCellMar>
        <w:left w:w="108" w:type="dxa"/>
        <w:right w:w="108" w:type="dxa"/>
      </w:tblCellMar>
    </w:tblPr>
  </w:style>
  <w:style w:type="table" w:customStyle="1" w:styleId="3">
    <w:name w:val="3"/>
    <w:basedOn w:val="TableNormal"/>
    <w:pPr>
      <w:spacing w:after="0" w:line="240" w:lineRule="auto"/>
    </w:pPr>
    <w:tblPr>
      <w:tblStyleRowBandSize w:val="1"/>
      <w:tblStyleColBandSize w:val="1"/>
      <w:tblCellMar>
        <w:left w:w="108" w:type="dxa"/>
        <w:right w:w="108" w:type="dxa"/>
      </w:tblCellMar>
    </w:tblPr>
  </w:style>
  <w:style w:type="table" w:customStyle="1" w:styleId="2">
    <w:name w:val="2"/>
    <w:basedOn w:val="TableNormal"/>
    <w:pPr>
      <w:spacing w:after="0" w:line="240" w:lineRule="auto"/>
    </w:pPr>
    <w:tblPr>
      <w:tblStyleRowBandSize w:val="1"/>
      <w:tblStyleColBandSize w:val="1"/>
      <w:tblCellMar>
        <w:left w:w="108" w:type="dxa"/>
        <w:right w:w="108" w:type="dxa"/>
      </w:tblCellMar>
    </w:tblPr>
  </w:style>
  <w:style w:type="table" w:customStyle="1" w:styleId="1">
    <w:name w:val="1"/>
    <w:basedOn w:val="TableNormal"/>
    <w:pPr>
      <w:spacing w:after="0" w:line="240" w:lineRule="auto"/>
    </w:pPr>
    <w:tblPr>
      <w:tblStyleRowBandSize w:val="1"/>
      <w:tblStyleColBandSize w:val="1"/>
      <w:tblCellMar>
        <w:left w:w="108" w:type="dxa"/>
        <w:right w:w="108" w:type="dxa"/>
      </w:tblCellMar>
    </w:tblPr>
  </w:style>
  <w:style w:type="paragraph" w:styleId="Commentaire">
    <w:name w:val="annotation text"/>
    <w:basedOn w:val="Normal"/>
    <w:link w:val="CommentaireCar"/>
    <w:uiPriority w:val="99"/>
    <w:semiHidden/>
    <w:unhideWhenUsed/>
    <w:pPr>
      <w:spacing w:line="240" w:lineRule="auto"/>
    </w:pPr>
    <w:rPr>
      <w:sz w:val="20"/>
      <w:szCs w:val="20"/>
    </w:rPr>
  </w:style>
  <w:style w:type="character" w:customStyle="1" w:styleId="CommentaireCar">
    <w:name w:val="Commentaire Car"/>
    <w:basedOn w:val="Policepardfaut"/>
    <w:link w:val="Commentaire"/>
    <w:uiPriority w:val="99"/>
    <w:semiHidden/>
    <w:rPr>
      <w:sz w:val="20"/>
      <w:szCs w:val="20"/>
    </w:rPr>
  </w:style>
  <w:style w:type="character" w:styleId="Marquedecommentaire">
    <w:name w:val="annotation reference"/>
    <w:basedOn w:val="Policepardfaut"/>
    <w:uiPriority w:val="99"/>
    <w:semiHidden/>
    <w:unhideWhenUsed/>
    <w:rPr>
      <w:sz w:val="16"/>
      <w:szCs w:val="16"/>
    </w:rPr>
  </w:style>
  <w:style w:type="paragraph" w:styleId="Paragraphedeliste">
    <w:name w:val="List Paragraph"/>
    <w:aliases w:val="Bullet Points,Liste Paragraf,Citation List,Table/Figure Heading,References,List Paragraph,Paragraphe  revu,Lapis Bulleted List,Bullets,Liste 1,List Paragraph1,Yellow Bullet,Normal bullet 2,Paragraph,lp1,P1 Pharos,bk paragraph"/>
    <w:basedOn w:val="Normal"/>
    <w:link w:val="ParagraphedelisteCar"/>
    <w:uiPriority w:val="34"/>
    <w:qFormat/>
    <w:rsid w:val="00143DED"/>
    <w:pPr>
      <w:ind w:left="720"/>
      <w:contextualSpacing/>
    </w:pPr>
  </w:style>
  <w:style w:type="paragraph" w:styleId="Rvision">
    <w:name w:val="Revision"/>
    <w:hidden/>
    <w:uiPriority w:val="99"/>
    <w:semiHidden/>
    <w:rsid w:val="008449F3"/>
    <w:pPr>
      <w:spacing w:after="0" w:line="240" w:lineRule="auto"/>
    </w:pPr>
  </w:style>
  <w:style w:type="paragraph" w:customStyle="1" w:styleId="Default">
    <w:name w:val="Default"/>
    <w:rsid w:val="00FA7761"/>
    <w:pPr>
      <w:autoSpaceDE w:val="0"/>
      <w:autoSpaceDN w:val="0"/>
      <w:adjustRightInd w:val="0"/>
      <w:spacing w:after="0" w:line="240" w:lineRule="auto"/>
    </w:pPr>
    <w:rPr>
      <w:rFonts w:ascii="Arial" w:eastAsia="Times New Roman" w:hAnsi="Arial" w:cs="Arial"/>
      <w:color w:val="000000"/>
      <w:sz w:val="24"/>
      <w:szCs w:val="24"/>
      <w:lang w:val="fr-FR" w:eastAsia="fr-FR"/>
    </w:rPr>
  </w:style>
  <w:style w:type="table" w:styleId="Grilledutableau">
    <w:name w:val="Table Grid"/>
    <w:basedOn w:val="TableauNormal"/>
    <w:uiPriority w:val="59"/>
    <w:rsid w:val="00FA7761"/>
    <w:pPr>
      <w:spacing w:after="0" w:line="240" w:lineRule="auto"/>
    </w:pPr>
    <w:rPr>
      <w:rFonts w:ascii="Times" w:eastAsia="Times" w:hAnsi="Times" w:cs="Times New Roman"/>
      <w:sz w:val="20"/>
      <w:szCs w:val="20"/>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phedelisteCar">
    <w:name w:val="Paragraphe de liste Car"/>
    <w:aliases w:val="Bullet Points Car,Liste Paragraf Car,Citation List Car,Table/Figure Heading Car,References Car,List Paragraph Car,Paragraphe  revu Car,Lapis Bulleted List Car,Bullets Car,Liste 1 Car,List Paragraph1 Car,Yellow Bullet Car,lp1 Car"/>
    <w:link w:val="Paragraphedeliste"/>
    <w:uiPriority w:val="34"/>
    <w:qFormat/>
    <w:locked/>
    <w:rsid w:val="00FA7761"/>
  </w:style>
  <w:style w:type="paragraph" w:styleId="Objetducommentaire">
    <w:name w:val="annotation subject"/>
    <w:basedOn w:val="Commentaire"/>
    <w:next w:val="Commentaire"/>
    <w:link w:val="ObjetducommentaireCar"/>
    <w:uiPriority w:val="99"/>
    <w:semiHidden/>
    <w:unhideWhenUsed/>
    <w:rsid w:val="00F15C76"/>
    <w:rPr>
      <w:b/>
      <w:bCs/>
    </w:rPr>
  </w:style>
  <w:style w:type="character" w:customStyle="1" w:styleId="ObjetducommentaireCar">
    <w:name w:val="Objet du commentaire Car"/>
    <w:basedOn w:val="CommentaireCar"/>
    <w:link w:val="Objetducommentaire"/>
    <w:uiPriority w:val="99"/>
    <w:semiHidden/>
    <w:rsid w:val="00F15C7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175</TotalTime>
  <Pages>8</Pages>
  <Words>2563</Words>
  <Characters>14101</Characters>
  <Application>Microsoft Office Word</Application>
  <DocSecurity>0</DocSecurity>
  <Lines>117</Lines>
  <Paragraphs>33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16631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emilie.griffiths</dc:creator>
  <cp:keywords/>
  <dc:description/>
  <cp:lastModifiedBy>Emilie Griffiths</cp:lastModifiedBy>
  <cp:revision>4</cp:revision>
  <dcterms:created xsi:type="dcterms:W3CDTF">2025-07-01T11:19:00Z</dcterms:created>
  <dcterms:modified xsi:type="dcterms:W3CDTF">2025-07-01T14:18:00Z</dcterms:modified>
</cp:coreProperties>
</file>